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3033B" w14:paraId="4498606E" w14:textId="77777777" w:rsidTr="0047741D">
        <w:trPr>
          <w:gridAfter w:val="1"/>
          <w:wAfter w:w="2835" w:type="dxa"/>
          <w:cantSplit/>
          <w:trHeight w:val="569"/>
        </w:trPr>
        <w:tc>
          <w:tcPr>
            <w:tcW w:w="4786" w:type="dxa"/>
            <w:shd w:val="clear" w:color="auto" w:fill="BFBFBF"/>
            <w:vAlign w:val="center"/>
          </w:tcPr>
          <w:p w14:paraId="4498606C" w14:textId="77777777" w:rsidR="002F5C5E" w:rsidRPr="009E2B84" w:rsidRDefault="005A5D49"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449861FD" wp14:editId="449861FE">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4330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4498606D" w14:textId="77777777" w:rsidR="002F5C5E" w:rsidRPr="009E2B84" w:rsidRDefault="005A5D49" w:rsidP="00AC4A99">
            <w:pPr>
              <w:jc w:val="center"/>
              <w:rPr>
                <w:b/>
              </w:rPr>
            </w:pPr>
            <w:r w:rsidRPr="009E2B84">
              <w:rPr>
                <w:b/>
              </w:rPr>
              <w:t>ON</w:t>
            </w:r>
          </w:p>
        </w:tc>
      </w:tr>
      <w:tr w:rsidR="0063033B" w14:paraId="44986071" w14:textId="77777777" w:rsidTr="0047741D">
        <w:trPr>
          <w:gridAfter w:val="1"/>
          <w:wAfter w:w="2835" w:type="dxa"/>
          <w:cantSplit/>
          <w:trHeight w:val="654"/>
        </w:trPr>
        <w:tc>
          <w:tcPr>
            <w:tcW w:w="4786" w:type="dxa"/>
            <w:tcBorders>
              <w:bottom w:val="nil"/>
            </w:tcBorders>
            <w:vAlign w:val="center"/>
          </w:tcPr>
          <w:p w14:paraId="4498606F" w14:textId="77777777" w:rsidR="002F5C5E" w:rsidRPr="006B58F6" w:rsidRDefault="005A5D49"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Governance</w:t>
            </w:r>
            <w:r w:rsidRPr="006B58F6">
              <w:rPr>
                <w:b/>
              </w:rPr>
              <w:t xml:space="preserve"> Committee</w:t>
            </w:r>
            <w:r w:rsidRPr="006B58F6">
              <w:rPr>
                <w:b/>
              </w:rPr>
              <w:fldChar w:fldCharType="end"/>
            </w:r>
          </w:p>
        </w:tc>
        <w:tc>
          <w:tcPr>
            <w:tcW w:w="2268" w:type="dxa"/>
            <w:gridSpan w:val="2"/>
            <w:tcBorders>
              <w:bottom w:val="nil"/>
            </w:tcBorders>
            <w:vAlign w:val="center"/>
          </w:tcPr>
          <w:p w14:paraId="44986070" w14:textId="77777777" w:rsidR="006B58F6" w:rsidRPr="006B58F6" w:rsidRDefault="005A5D49"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19</w:t>
            </w:r>
            <w:r w:rsidRPr="006B58F6">
              <w:rPr>
                <w:b/>
              </w:rPr>
              <w:t xml:space="preserve"> January 2021</w:t>
            </w:r>
            <w:r w:rsidRPr="006B58F6">
              <w:rPr>
                <w:b/>
              </w:rPr>
              <w:fldChar w:fldCharType="end"/>
            </w:r>
            <w:r>
              <w:rPr>
                <w:b/>
              </w:rPr>
              <w:t xml:space="preserve"> </w:t>
            </w:r>
          </w:p>
        </w:tc>
      </w:tr>
      <w:tr w:rsidR="0063033B" w14:paraId="44986073" w14:textId="77777777" w:rsidTr="0047741D">
        <w:trPr>
          <w:gridAfter w:val="1"/>
          <w:wAfter w:w="2835" w:type="dxa"/>
          <w:cantSplit/>
          <w:trHeight w:val="560"/>
        </w:trPr>
        <w:tc>
          <w:tcPr>
            <w:tcW w:w="7054" w:type="dxa"/>
            <w:gridSpan w:val="3"/>
            <w:tcBorders>
              <w:left w:val="nil"/>
              <w:right w:val="nil"/>
            </w:tcBorders>
          </w:tcPr>
          <w:p w14:paraId="44986072" w14:textId="77777777" w:rsidR="002F5C5E" w:rsidRPr="009E2B84" w:rsidRDefault="005A5D49" w:rsidP="003902A2">
            <w:pPr>
              <w:jc w:val="right"/>
              <w:rPr>
                <w:sz w:val="8"/>
              </w:rPr>
            </w:pPr>
          </w:p>
        </w:tc>
      </w:tr>
      <w:tr w:rsidR="0063033B" w14:paraId="44986076" w14:textId="77777777" w:rsidTr="0047741D">
        <w:trPr>
          <w:cantSplit/>
        </w:trPr>
        <w:tc>
          <w:tcPr>
            <w:tcW w:w="6912" w:type="dxa"/>
            <w:gridSpan w:val="2"/>
            <w:shd w:val="clear" w:color="auto" w:fill="BFBFBF"/>
            <w:vAlign w:val="center"/>
          </w:tcPr>
          <w:p w14:paraId="44986074" w14:textId="77777777" w:rsidR="0047741D" w:rsidRPr="009E2B84" w:rsidRDefault="005A5D49" w:rsidP="00E2196F">
            <w:pPr>
              <w:jc w:val="center"/>
              <w:rPr>
                <w:b/>
              </w:rPr>
            </w:pPr>
            <w:r w:rsidRPr="009E2B84">
              <w:rPr>
                <w:b/>
              </w:rPr>
              <w:t>TITLE</w:t>
            </w:r>
          </w:p>
        </w:tc>
        <w:tc>
          <w:tcPr>
            <w:tcW w:w="2977" w:type="dxa"/>
            <w:gridSpan w:val="2"/>
            <w:shd w:val="clear" w:color="auto" w:fill="BFBFBF"/>
            <w:vAlign w:val="center"/>
          </w:tcPr>
          <w:p w14:paraId="44986075" w14:textId="77777777" w:rsidR="0047741D" w:rsidRPr="009E2B84" w:rsidRDefault="005A5D49" w:rsidP="00E2196F">
            <w:pPr>
              <w:jc w:val="center"/>
              <w:rPr>
                <w:b/>
              </w:rPr>
            </w:pPr>
            <w:r>
              <w:rPr>
                <w:b/>
              </w:rPr>
              <w:t>REPORT OF</w:t>
            </w:r>
          </w:p>
        </w:tc>
      </w:tr>
      <w:tr w:rsidR="0063033B" w14:paraId="44986079" w14:textId="77777777" w:rsidTr="0047741D">
        <w:trPr>
          <w:cantSplit/>
          <w:trHeight w:val="667"/>
        </w:trPr>
        <w:tc>
          <w:tcPr>
            <w:tcW w:w="6912" w:type="dxa"/>
            <w:gridSpan w:val="2"/>
            <w:vAlign w:val="center"/>
          </w:tcPr>
          <w:p w14:paraId="44986077" w14:textId="77777777" w:rsidR="0047741D" w:rsidRPr="009E2B84" w:rsidRDefault="005A5D49" w:rsidP="001A54F4">
            <w:pPr>
              <w:rPr>
                <w:b/>
              </w:rPr>
            </w:pPr>
            <w:r>
              <w:rPr>
                <w:b/>
              </w:rPr>
              <w:fldChar w:fldCharType="begin"/>
            </w:r>
            <w:r>
              <w:rPr>
                <w:b/>
              </w:rPr>
              <w:instrText xml:space="preserve"> DOCPROPERTY  IssueTitle  \* MERGEFORMAT </w:instrText>
            </w:r>
            <w:r>
              <w:rPr>
                <w:b/>
              </w:rPr>
              <w:fldChar w:fldCharType="separate"/>
            </w:r>
            <w:r>
              <w:rPr>
                <w:b/>
              </w:rPr>
              <w:t>South Ribble Corporate Risk Register 2021</w:t>
            </w:r>
            <w:r>
              <w:rPr>
                <w:b/>
              </w:rPr>
              <w:fldChar w:fldCharType="end"/>
            </w:r>
          </w:p>
        </w:tc>
        <w:tc>
          <w:tcPr>
            <w:tcW w:w="2977" w:type="dxa"/>
            <w:gridSpan w:val="2"/>
            <w:vAlign w:val="center"/>
          </w:tcPr>
          <w:p w14:paraId="44986078" w14:textId="77777777" w:rsidR="0047741D" w:rsidRPr="001A54F4" w:rsidRDefault="005A5D49" w:rsidP="00C903AC">
            <w:pPr>
              <w:rPr>
                <w:b/>
              </w:rPr>
            </w:pPr>
            <w:r>
              <w:rPr>
                <w:b/>
              </w:rPr>
              <w:t xml:space="preserve">Deputy Chief Executive </w:t>
            </w:r>
          </w:p>
        </w:tc>
      </w:tr>
    </w:tbl>
    <w:p w14:paraId="4498607A" w14:textId="77777777" w:rsidR="002F5C5E" w:rsidRPr="009E2B84" w:rsidRDefault="005A5D49" w:rsidP="002F5C5E"/>
    <w:p w14:paraId="4498607B" w14:textId="77777777" w:rsidR="002F5C5E" w:rsidRDefault="005A5D49"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3033B" w14:paraId="44986081" w14:textId="77777777" w:rsidTr="00E2196F">
        <w:tc>
          <w:tcPr>
            <w:tcW w:w="6652" w:type="dxa"/>
            <w:shd w:val="clear" w:color="auto" w:fill="auto"/>
          </w:tcPr>
          <w:p w14:paraId="4498607C" w14:textId="77777777" w:rsidR="0047741D" w:rsidRDefault="005A5D49" w:rsidP="00E2196F">
            <w:pPr>
              <w:rPr>
                <w:szCs w:val="22"/>
              </w:rPr>
            </w:pPr>
          </w:p>
          <w:p w14:paraId="4498607D" w14:textId="77777777" w:rsidR="0047741D" w:rsidRPr="009C1143" w:rsidRDefault="005A5D49" w:rsidP="00E2196F">
            <w:pPr>
              <w:rPr>
                <w:szCs w:val="22"/>
              </w:rPr>
            </w:pPr>
            <w:r>
              <w:rPr>
                <w:szCs w:val="22"/>
              </w:rPr>
              <w:t>Is this report confidential?</w:t>
            </w:r>
          </w:p>
        </w:tc>
        <w:tc>
          <w:tcPr>
            <w:tcW w:w="3266" w:type="dxa"/>
            <w:shd w:val="clear" w:color="auto" w:fill="auto"/>
          </w:tcPr>
          <w:p w14:paraId="4498607E" w14:textId="77777777" w:rsidR="00E63940" w:rsidRDefault="005A5D49" w:rsidP="00E63940">
            <w:pPr>
              <w:rPr>
                <w:b/>
                <w:szCs w:val="22"/>
              </w:rPr>
            </w:pPr>
          </w:p>
          <w:p w14:paraId="4498607F" w14:textId="77777777" w:rsidR="0047741D" w:rsidRPr="00F3057A" w:rsidRDefault="005A5D49" w:rsidP="00E2196F">
            <w:pPr>
              <w:rPr>
                <w:b/>
                <w:szCs w:val="22"/>
              </w:rPr>
            </w:pPr>
            <w:r w:rsidRPr="00F3057A">
              <w:rPr>
                <w:b/>
                <w:szCs w:val="22"/>
              </w:rPr>
              <w:t xml:space="preserve">No </w:t>
            </w:r>
          </w:p>
          <w:p w14:paraId="44986080" w14:textId="77777777" w:rsidR="0047741D" w:rsidRPr="009C1143" w:rsidRDefault="005A5D49" w:rsidP="005A2883">
            <w:pPr>
              <w:rPr>
                <w:szCs w:val="22"/>
              </w:rPr>
            </w:pPr>
          </w:p>
        </w:tc>
      </w:tr>
    </w:tbl>
    <w:p w14:paraId="44986082" w14:textId="77777777" w:rsidR="00EB2D32" w:rsidRPr="00C278CB" w:rsidRDefault="005A5D49" w:rsidP="00B71A04">
      <w:pPr>
        <w:tabs>
          <w:tab w:val="left" w:pos="567"/>
        </w:tabs>
        <w:ind w:left="567" w:hanging="567"/>
        <w:rPr>
          <w:sz w:val="16"/>
          <w:szCs w:val="16"/>
        </w:rPr>
      </w:pPr>
    </w:p>
    <w:p w14:paraId="44986083" w14:textId="77777777" w:rsidR="005A2883" w:rsidRPr="005A2883" w:rsidRDefault="005A5D49" w:rsidP="005A2883">
      <w:pPr>
        <w:keepNext/>
        <w:tabs>
          <w:tab w:val="left" w:pos="567"/>
        </w:tabs>
        <w:outlineLvl w:val="0"/>
        <w:rPr>
          <w:b/>
          <w:szCs w:val="22"/>
        </w:rPr>
      </w:pPr>
      <w:r w:rsidRPr="005A2883">
        <w:rPr>
          <w:b/>
          <w:szCs w:val="22"/>
        </w:rPr>
        <w:t xml:space="preserve">PURPOSE OF THE REPORT  </w:t>
      </w:r>
    </w:p>
    <w:p w14:paraId="44986084" w14:textId="77777777" w:rsidR="005A2883" w:rsidRPr="005A2883" w:rsidRDefault="005A5D49" w:rsidP="005A2883">
      <w:pPr>
        <w:keepNext/>
        <w:tabs>
          <w:tab w:val="left" w:pos="567"/>
        </w:tabs>
        <w:ind w:left="567" w:hanging="567"/>
        <w:outlineLvl w:val="0"/>
        <w:rPr>
          <w:b/>
          <w:szCs w:val="22"/>
        </w:rPr>
      </w:pPr>
    </w:p>
    <w:p w14:paraId="44986085" w14:textId="77777777" w:rsidR="005A2883" w:rsidRPr="005A2883" w:rsidRDefault="005A5D49" w:rsidP="005A2883">
      <w:pPr>
        <w:keepNext/>
        <w:numPr>
          <w:ilvl w:val="0"/>
          <w:numId w:val="20"/>
        </w:numPr>
        <w:tabs>
          <w:tab w:val="left" w:pos="567"/>
        </w:tabs>
        <w:spacing w:after="160" w:line="256" w:lineRule="auto"/>
        <w:contextualSpacing/>
        <w:outlineLvl w:val="0"/>
        <w:rPr>
          <w:rFonts w:eastAsia="Calibri" w:cs="Arial"/>
          <w:i/>
          <w:szCs w:val="22"/>
          <w:lang w:eastAsia="en-US"/>
        </w:rPr>
      </w:pPr>
      <w:r w:rsidRPr="005A2883">
        <w:rPr>
          <w:rFonts w:eastAsia="Calibri" w:cs="Arial"/>
          <w:i/>
          <w:szCs w:val="22"/>
          <w:lang w:eastAsia="en-US"/>
        </w:rPr>
        <w:t xml:space="preserve"> </w:t>
      </w:r>
      <w:r w:rsidRPr="005A2883">
        <w:rPr>
          <w:rFonts w:eastAsia="Calibri" w:cs="Arial"/>
          <w:iCs/>
          <w:szCs w:val="22"/>
          <w:lang w:eastAsia="en-US"/>
        </w:rPr>
        <w:t xml:space="preserve">The Strategic Risk Register (SRR) is the vehicle by which the Council aims to identify and address any potential risks to the organisation and the delivery of its functions which therefore need to be managed strategically. </w:t>
      </w:r>
    </w:p>
    <w:p w14:paraId="44986086" w14:textId="77777777" w:rsidR="005A2883" w:rsidRPr="005A2883" w:rsidRDefault="005A5D49" w:rsidP="005A2883">
      <w:pPr>
        <w:keepNext/>
        <w:tabs>
          <w:tab w:val="left" w:pos="567"/>
        </w:tabs>
        <w:spacing w:after="160" w:line="256" w:lineRule="auto"/>
        <w:ind w:left="720"/>
        <w:contextualSpacing/>
        <w:outlineLvl w:val="0"/>
        <w:rPr>
          <w:rFonts w:eastAsia="Calibri" w:cs="Arial"/>
          <w:iCs/>
          <w:szCs w:val="22"/>
          <w:lang w:eastAsia="en-US"/>
        </w:rPr>
      </w:pPr>
    </w:p>
    <w:p w14:paraId="44986087" w14:textId="77777777" w:rsidR="005A2883" w:rsidRPr="00DF6571" w:rsidRDefault="005A5D49" w:rsidP="005A2883">
      <w:pPr>
        <w:keepNext/>
        <w:numPr>
          <w:ilvl w:val="0"/>
          <w:numId w:val="20"/>
        </w:numPr>
        <w:tabs>
          <w:tab w:val="left" w:pos="567"/>
        </w:tabs>
        <w:spacing w:after="160" w:line="256" w:lineRule="auto"/>
        <w:contextualSpacing/>
        <w:outlineLvl w:val="0"/>
        <w:rPr>
          <w:rFonts w:eastAsia="Calibri" w:cs="Arial"/>
          <w:i/>
          <w:szCs w:val="22"/>
          <w:lang w:eastAsia="en-US"/>
        </w:rPr>
      </w:pPr>
      <w:r w:rsidRPr="005A2883">
        <w:rPr>
          <w:rFonts w:eastAsia="Calibri" w:cs="Arial"/>
          <w:iCs/>
          <w:szCs w:val="22"/>
          <w:lang w:eastAsia="en-US"/>
        </w:rPr>
        <w:t>This report provides Members wi</w:t>
      </w:r>
      <w:r w:rsidRPr="005A2883">
        <w:rPr>
          <w:rFonts w:eastAsia="Calibri" w:cs="Arial"/>
          <w:iCs/>
          <w:szCs w:val="22"/>
          <w:lang w:eastAsia="en-US"/>
        </w:rPr>
        <w:t>th an updated SRR which includes 16 strategic risks to the council, including existing controls as well as actions planned to further mitigate identified risks.</w:t>
      </w:r>
    </w:p>
    <w:p w14:paraId="44986088" w14:textId="77777777" w:rsidR="00DF6571" w:rsidRPr="005A2883" w:rsidRDefault="005A5D49" w:rsidP="00DF6571">
      <w:pPr>
        <w:keepNext/>
        <w:tabs>
          <w:tab w:val="left" w:pos="567"/>
        </w:tabs>
        <w:spacing w:after="160" w:line="256" w:lineRule="auto"/>
        <w:contextualSpacing/>
        <w:outlineLvl w:val="0"/>
        <w:rPr>
          <w:rFonts w:eastAsia="Calibri" w:cs="Arial"/>
          <w:i/>
          <w:szCs w:val="22"/>
          <w:lang w:eastAsia="en-US"/>
        </w:rPr>
      </w:pPr>
    </w:p>
    <w:p w14:paraId="44986089" w14:textId="77777777" w:rsidR="005A2883" w:rsidRPr="005A2883" w:rsidRDefault="005A5D49" w:rsidP="005A2883">
      <w:pPr>
        <w:keepNext/>
        <w:tabs>
          <w:tab w:val="left" w:pos="567"/>
        </w:tabs>
        <w:outlineLvl w:val="0"/>
        <w:rPr>
          <w:rFonts w:cs="Arial"/>
          <w:b/>
          <w:szCs w:val="22"/>
        </w:rPr>
      </w:pPr>
      <w:r w:rsidRPr="005A2883">
        <w:rPr>
          <w:rFonts w:cs="Arial"/>
          <w:b/>
          <w:szCs w:val="22"/>
        </w:rPr>
        <w:t>RECOMMENDATIONS</w:t>
      </w:r>
    </w:p>
    <w:p w14:paraId="4498608A" w14:textId="77777777" w:rsidR="005A2883" w:rsidRPr="005A2883" w:rsidRDefault="005A5D49" w:rsidP="005A2883">
      <w:pPr>
        <w:keepNext/>
        <w:tabs>
          <w:tab w:val="left" w:pos="567"/>
        </w:tabs>
        <w:ind w:left="567"/>
        <w:outlineLvl w:val="0"/>
        <w:rPr>
          <w:rFonts w:cs="Arial"/>
          <w:b/>
          <w:szCs w:val="22"/>
        </w:rPr>
      </w:pPr>
    </w:p>
    <w:p w14:paraId="4498608B" w14:textId="77777777" w:rsidR="005A2883" w:rsidRPr="00DF6571" w:rsidRDefault="005A5D49" w:rsidP="005A2883">
      <w:pPr>
        <w:keepNext/>
        <w:numPr>
          <w:ilvl w:val="0"/>
          <w:numId w:val="20"/>
        </w:numPr>
        <w:tabs>
          <w:tab w:val="left" w:pos="567"/>
        </w:tabs>
        <w:spacing w:after="160" w:line="256" w:lineRule="auto"/>
        <w:contextualSpacing/>
        <w:outlineLvl w:val="0"/>
        <w:rPr>
          <w:rFonts w:eastAsia="Calibri" w:cs="Arial"/>
          <w:b/>
          <w:iCs/>
          <w:szCs w:val="22"/>
          <w:lang w:eastAsia="en-US"/>
        </w:rPr>
      </w:pPr>
      <w:r w:rsidRPr="005A2883">
        <w:rPr>
          <w:rFonts w:eastAsia="Calibri" w:cs="Arial"/>
          <w:i/>
          <w:szCs w:val="22"/>
          <w:lang w:eastAsia="en-US"/>
        </w:rPr>
        <w:t xml:space="preserve"> </w:t>
      </w:r>
      <w:r w:rsidRPr="005A2883">
        <w:rPr>
          <w:rFonts w:eastAsia="Calibri" w:cs="Arial"/>
          <w:iCs/>
          <w:szCs w:val="22"/>
          <w:lang w:eastAsia="en-US"/>
        </w:rPr>
        <w:t>That Members note the strategic risks, controls in place and actions planned</w:t>
      </w:r>
      <w:r w:rsidRPr="005A2883">
        <w:rPr>
          <w:rFonts w:eastAsia="Calibri" w:cs="Arial"/>
          <w:iCs/>
          <w:szCs w:val="22"/>
          <w:lang w:eastAsia="en-US"/>
        </w:rPr>
        <w:t xml:space="preserve"> to further mitigate the strategic risks as set out at Appendix 1.</w:t>
      </w:r>
    </w:p>
    <w:p w14:paraId="4498608C" w14:textId="77777777" w:rsidR="00DF6571" w:rsidRPr="005A2883" w:rsidRDefault="005A5D49" w:rsidP="00DF6571">
      <w:pPr>
        <w:keepNext/>
        <w:tabs>
          <w:tab w:val="left" w:pos="567"/>
        </w:tabs>
        <w:spacing w:after="160" w:line="256" w:lineRule="auto"/>
        <w:ind w:left="720"/>
        <w:contextualSpacing/>
        <w:outlineLvl w:val="0"/>
        <w:rPr>
          <w:rFonts w:eastAsia="Calibri" w:cs="Arial"/>
          <w:b/>
          <w:iCs/>
          <w:szCs w:val="22"/>
          <w:lang w:eastAsia="en-US"/>
        </w:rPr>
      </w:pPr>
    </w:p>
    <w:p w14:paraId="4498608D" w14:textId="77777777" w:rsidR="005A2883" w:rsidRPr="005A2883" w:rsidRDefault="005A5D49" w:rsidP="005A2883">
      <w:pPr>
        <w:tabs>
          <w:tab w:val="left" w:pos="567"/>
        </w:tabs>
        <w:ind w:left="567" w:hanging="567"/>
        <w:rPr>
          <w:b/>
          <w:szCs w:val="22"/>
        </w:rPr>
      </w:pPr>
      <w:r w:rsidRPr="005A2883">
        <w:rPr>
          <w:b/>
          <w:szCs w:val="22"/>
        </w:rPr>
        <w:t>REASONS FOR RECOMMENDATIONS</w:t>
      </w:r>
    </w:p>
    <w:p w14:paraId="4498608E" w14:textId="77777777" w:rsidR="005A2883" w:rsidRPr="005A2883" w:rsidRDefault="005A5D49" w:rsidP="005A2883">
      <w:pPr>
        <w:tabs>
          <w:tab w:val="left" w:pos="567"/>
        </w:tabs>
        <w:ind w:left="567" w:hanging="567"/>
        <w:rPr>
          <w:b/>
          <w:szCs w:val="22"/>
        </w:rPr>
      </w:pPr>
    </w:p>
    <w:p w14:paraId="4498608F" w14:textId="77777777" w:rsidR="005A2883" w:rsidRPr="00DF6571" w:rsidRDefault="005A5D49" w:rsidP="005A2883">
      <w:pPr>
        <w:numPr>
          <w:ilvl w:val="0"/>
          <w:numId w:val="20"/>
        </w:numPr>
        <w:tabs>
          <w:tab w:val="left" w:pos="567"/>
        </w:tabs>
        <w:spacing w:after="160" w:line="256" w:lineRule="auto"/>
        <w:contextualSpacing/>
        <w:rPr>
          <w:rFonts w:eastAsia="Calibri"/>
          <w:b/>
          <w:iCs/>
          <w:szCs w:val="22"/>
          <w:lang w:eastAsia="en-US"/>
        </w:rPr>
      </w:pPr>
      <w:r w:rsidRPr="005A2883">
        <w:rPr>
          <w:rFonts w:eastAsia="Calibri"/>
          <w:b/>
          <w:szCs w:val="22"/>
          <w:lang w:eastAsia="en-US"/>
        </w:rPr>
        <w:t xml:space="preserve"> </w:t>
      </w:r>
      <w:r w:rsidRPr="005A2883">
        <w:rPr>
          <w:rFonts w:eastAsia="Calibri"/>
          <w:iCs/>
          <w:szCs w:val="22"/>
          <w:lang w:eastAsia="en-US"/>
        </w:rPr>
        <w:t>Members have a duty to be aware of the potential strategic risks facing the Council.</w:t>
      </w:r>
    </w:p>
    <w:p w14:paraId="44986090" w14:textId="77777777" w:rsidR="00DF6571" w:rsidRPr="005A2883" w:rsidRDefault="005A5D49" w:rsidP="00DF6571">
      <w:pPr>
        <w:tabs>
          <w:tab w:val="left" w:pos="567"/>
        </w:tabs>
        <w:spacing w:after="160" w:line="256" w:lineRule="auto"/>
        <w:ind w:left="720"/>
        <w:contextualSpacing/>
        <w:rPr>
          <w:rFonts w:eastAsia="Calibri"/>
          <w:b/>
          <w:iCs/>
          <w:szCs w:val="22"/>
          <w:lang w:eastAsia="en-US"/>
        </w:rPr>
      </w:pPr>
    </w:p>
    <w:p w14:paraId="44986091" w14:textId="77777777" w:rsidR="005A2883" w:rsidRPr="005A2883" w:rsidRDefault="005A5D49" w:rsidP="005A2883">
      <w:pPr>
        <w:tabs>
          <w:tab w:val="left" w:pos="567"/>
        </w:tabs>
        <w:rPr>
          <w:b/>
        </w:rPr>
      </w:pPr>
      <w:r w:rsidRPr="005A2883">
        <w:rPr>
          <w:b/>
        </w:rPr>
        <w:t>OTHER OPTIONS CONSIDERED AND REJECTED</w:t>
      </w:r>
    </w:p>
    <w:p w14:paraId="44986092" w14:textId="77777777" w:rsidR="005A2883" w:rsidRPr="005A2883" w:rsidRDefault="005A5D49" w:rsidP="005A2883">
      <w:pPr>
        <w:tabs>
          <w:tab w:val="left" w:pos="567"/>
        </w:tabs>
        <w:rPr>
          <w:b/>
        </w:rPr>
      </w:pPr>
    </w:p>
    <w:p w14:paraId="44986093" w14:textId="77777777" w:rsidR="005A2883" w:rsidRDefault="005A5D49" w:rsidP="005A2883">
      <w:pPr>
        <w:numPr>
          <w:ilvl w:val="0"/>
          <w:numId w:val="20"/>
        </w:numPr>
        <w:tabs>
          <w:tab w:val="left" w:pos="567"/>
        </w:tabs>
        <w:spacing w:after="160" w:line="256" w:lineRule="auto"/>
        <w:contextualSpacing/>
        <w:rPr>
          <w:rFonts w:eastAsia="Calibri"/>
          <w:iCs/>
          <w:szCs w:val="22"/>
          <w:lang w:eastAsia="en-US"/>
        </w:rPr>
      </w:pPr>
      <w:r w:rsidRPr="005A2883">
        <w:rPr>
          <w:rFonts w:eastAsia="Calibri"/>
          <w:iCs/>
          <w:szCs w:val="22"/>
          <w:lang w:eastAsia="en-US"/>
        </w:rPr>
        <w:t>N/A</w:t>
      </w:r>
    </w:p>
    <w:p w14:paraId="44986094" w14:textId="77777777" w:rsidR="00DF6571" w:rsidRPr="005A2883" w:rsidRDefault="005A5D49" w:rsidP="00DF6571">
      <w:pPr>
        <w:tabs>
          <w:tab w:val="left" w:pos="567"/>
        </w:tabs>
        <w:spacing w:after="160" w:line="256" w:lineRule="auto"/>
        <w:ind w:left="720"/>
        <w:contextualSpacing/>
        <w:rPr>
          <w:rFonts w:eastAsia="Calibri"/>
          <w:iCs/>
          <w:szCs w:val="22"/>
          <w:lang w:eastAsia="en-US"/>
        </w:rPr>
      </w:pPr>
    </w:p>
    <w:p w14:paraId="44986095" w14:textId="77777777" w:rsidR="005A2883" w:rsidRPr="005A2883" w:rsidRDefault="005A5D49" w:rsidP="005A2883">
      <w:pPr>
        <w:tabs>
          <w:tab w:val="left" w:pos="567"/>
        </w:tabs>
        <w:rPr>
          <w:b/>
        </w:rPr>
      </w:pPr>
      <w:r w:rsidRPr="005A2883">
        <w:rPr>
          <w:b/>
        </w:rPr>
        <w:t>EXECUTIVE SUMMARY</w:t>
      </w:r>
    </w:p>
    <w:p w14:paraId="44986096" w14:textId="77777777" w:rsidR="005A2883" w:rsidRPr="005A2883" w:rsidRDefault="005A5D49" w:rsidP="005A2883">
      <w:pPr>
        <w:tabs>
          <w:tab w:val="left" w:pos="567"/>
        </w:tabs>
        <w:rPr>
          <w:b/>
        </w:rPr>
      </w:pPr>
    </w:p>
    <w:p w14:paraId="44986097" w14:textId="77777777" w:rsidR="005A2883" w:rsidRDefault="005A5D49" w:rsidP="005A2883">
      <w:pPr>
        <w:numPr>
          <w:ilvl w:val="0"/>
          <w:numId w:val="20"/>
        </w:numPr>
        <w:tabs>
          <w:tab w:val="left" w:pos="567"/>
        </w:tabs>
        <w:spacing w:after="160" w:line="256" w:lineRule="auto"/>
        <w:contextualSpacing/>
        <w:rPr>
          <w:rFonts w:eastAsia="Calibri"/>
          <w:szCs w:val="22"/>
          <w:lang w:eastAsia="en-US"/>
        </w:rPr>
      </w:pPr>
      <w:r w:rsidRPr="005A2883">
        <w:rPr>
          <w:rFonts w:eastAsia="Calibri"/>
          <w:szCs w:val="22"/>
          <w:lang w:eastAsia="en-US"/>
        </w:rPr>
        <w:t xml:space="preserve"> This report provides an overview of the Strategic Risk Register 2021. The register contains information on the 16 strategic risks facing the Council and their risk ratings (high, medium, low). It also lists the controls already in place for each of the ri</w:t>
      </w:r>
      <w:r w:rsidRPr="005A2883">
        <w:rPr>
          <w:rFonts w:eastAsia="Calibri"/>
          <w:szCs w:val="22"/>
          <w:lang w:eastAsia="en-US"/>
        </w:rPr>
        <w:t>sks and the mitigating actions to be undertaken. In the 2021 register:</w:t>
      </w:r>
    </w:p>
    <w:p w14:paraId="44986098" w14:textId="77777777" w:rsidR="00DF6571" w:rsidRPr="005A2883" w:rsidRDefault="005A5D49" w:rsidP="00DF6571">
      <w:pPr>
        <w:tabs>
          <w:tab w:val="left" w:pos="567"/>
        </w:tabs>
        <w:spacing w:after="160" w:line="256" w:lineRule="auto"/>
        <w:ind w:left="720"/>
        <w:contextualSpacing/>
        <w:rPr>
          <w:rFonts w:eastAsia="Calibri"/>
          <w:szCs w:val="22"/>
          <w:lang w:eastAsia="en-US"/>
        </w:rPr>
      </w:pPr>
    </w:p>
    <w:p w14:paraId="44986099" w14:textId="77777777" w:rsidR="005A2883" w:rsidRPr="005A2883" w:rsidRDefault="005A5D49" w:rsidP="005A2883">
      <w:pPr>
        <w:tabs>
          <w:tab w:val="left" w:pos="567"/>
        </w:tabs>
        <w:ind w:left="360"/>
        <w:rPr>
          <w:b/>
          <w:bCs/>
        </w:rPr>
      </w:pPr>
      <w:r w:rsidRPr="005A2883">
        <w:rPr>
          <w:b/>
          <w:bCs/>
        </w:rPr>
        <w:t>Inherent risks</w:t>
      </w:r>
    </w:p>
    <w:p w14:paraId="4498609A" w14:textId="77777777" w:rsidR="005A2883" w:rsidRPr="005A2883" w:rsidRDefault="005A5D49" w:rsidP="005A2883">
      <w:pPr>
        <w:numPr>
          <w:ilvl w:val="0"/>
          <w:numId w:val="21"/>
        </w:numPr>
        <w:tabs>
          <w:tab w:val="left" w:pos="567"/>
        </w:tabs>
        <w:spacing w:after="160" w:line="256" w:lineRule="auto"/>
        <w:contextualSpacing/>
        <w:rPr>
          <w:rFonts w:eastAsia="Calibri"/>
          <w:szCs w:val="22"/>
          <w:lang w:eastAsia="en-US"/>
        </w:rPr>
      </w:pPr>
      <w:r w:rsidRPr="005A2883">
        <w:rPr>
          <w:rFonts w:eastAsia="Calibri"/>
          <w:b/>
          <w:bCs/>
          <w:szCs w:val="22"/>
          <w:lang w:eastAsia="en-US"/>
        </w:rPr>
        <w:t xml:space="preserve">Eight </w:t>
      </w:r>
      <w:r w:rsidRPr="005A2883">
        <w:rPr>
          <w:rFonts w:eastAsia="Calibri"/>
          <w:szCs w:val="22"/>
          <w:lang w:eastAsia="en-US"/>
        </w:rPr>
        <w:t>risks (50%) have been rated high (red) by their inherent score,</w:t>
      </w:r>
    </w:p>
    <w:p w14:paraId="4498609B" w14:textId="77777777" w:rsidR="005A2883" w:rsidRDefault="005A5D49" w:rsidP="005A2883">
      <w:pPr>
        <w:numPr>
          <w:ilvl w:val="0"/>
          <w:numId w:val="21"/>
        </w:numPr>
        <w:tabs>
          <w:tab w:val="left" w:pos="567"/>
        </w:tabs>
        <w:spacing w:after="160" w:line="256" w:lineRule="auto"/>
        <w:contextualSpacing/>
        <w:rPr>
          <w:rFonts w:eastAsia="Calibri"/>
          <w:szCs w:val="22"/>
          <w:lang w:eastAsia="en-US"/>
        </w:rPr>
      </w:pPr>
      <w:r w:rsidRPr="005A2883">
        <w:rPr>
          <w:rFonts w:eastAsia="Calibri"/>
          <w:b/>
          <w:bCs/>
          <w:szCs w:val="22"/>
          <w:lang w:eastAsia="en-US"/>
        </w:rPr>
        <w:t>Eight</w:t>
      </w:r>
      <w:r w:rsidRPr="005A2883">
        <w:rPr>
          <w:rFonts w:eastAsia="Calibri"/>
          <w:szCs w:val="22"/>
          <w:lang w:eastAsia="en-US"/>
        </w:rPr>
        <w:t xml:space="preserve"> risks (50%) have been rated as medium (amber) by their inherent score</w:t>
      </w:r>
    </w:p>
    <w:p w14:paraId="4498609C" w14:textId="77777777" w:rsidR="00DF6571" w:rsidRPr="005A2883" w:rsidRDefault="005A5D49" w:rsidP="00DF6571">
      <w:pPr>
        <w:tabs>
          <w:tab w:val="left" w:pos="567"/>
        </w:tabs>
        <w:spacing w:after="160" w:line="256" w:lineRule="auto"/>
        <w:ind w:left="1080"/>
        <w:contextualSpacing/>
        <w:rPr>
          <w:rFonts w:eastAsia="Calibri"/>
          <w:szCs w:val="22"/>
          <w:lang w:eastAsia="en-US"/>
        </w:rPr>
      </w:pPr>
    </w:p>
    <w:p w14:paraId="4498609D" w14:textId="77777777" w:rsidR="005A2883" w:rsidRPr="005A2883" w:rsidRDefault="005A5D49" w:rsidP="005A2883">
      <w:pPr>
        <w:tabs>
          <w:tab w:val="left" w:pos="567"/>
        </w:tabs>
        <w:ind w:left="567"/>
        <w:rPr>
          <w:b/>
          <w:bCs/>
        </w:rPr>
      </w:pPr>
      <w:r w:rsidRPr="005A2883">
        <w:rPr>
          <w:b/>
          <w:bCs/>
        </w:rPr>
        <w:t>Residual risks (with controls in place)</w:t>
      </w:r>
    </w:p>
    <w:p w14:paraId="4498609E" w14:textId="77777777" w:rsidR="005A2883" w:rsidRPr="005A2883" w:rsidRDefault="005A5D49" w:rsidP="005A2883">
      <w:pPr>
        <w:numPr>
          <w:ilvl w:val="0"/>
          <w:numId w:val="22"/>
        </w:numPr>
        <w:jc w:val="both"/>
        <w:rPr>
          <w:rFonts w:cs="Arial"/>
          <w:bCs/>
          <w:sz w:val="24"/>
          <w:szCs w:val="22"/>
        </w:rPr>
      </w:pPr>
      <w:r w:rsidRPr="005A2883">
        <w:rPr>
          <w:rFonts w:cs="Arial"/>
          <w:b/>
          <w:sz w:val="24"/>
          <w:szCs w:val="22"/>
        </w:rPr>
        <w:t>One</w:t>
      </w:r>
      <w:r w:rsidRPr="005A2883">
        <w:rPr>
          <w:rFonts w:cs="Arial"/>
          <w:bCs/>
          <w:sz w:val="24"/>
          <w:szCs w:val="22"/>
        </w:rPr>
        <w:t xml:space="preserve"> highly rated risk (6%),</w:t>
      </w:r>
    </w:p>
    <w:p w14:paraId="4498609F" w14:textId="77777777" w:rsidR="005A2883" w:rsidRPr="005A2883" w:rsidRDefault="005A5D49" w:rsidP="005A2883">
      <w:pPr>
        <w:numPr>
          <w:ilvl w:val="0"/>
          <w:numId w:val="22"/>
        </w:numPr>
        <w:rPr>
          <w:rFonts w:cs="Arial"/>
          <w:bCs/>
          <w:sz w:val="24"/>
          <w:szCs w:val="22"/>
        </w:rPr>
      </w:pPr>
      <w:r w:rsidRPr="005A2883">
        <w:rPr>
          <w:rFonts w:cs="Arial"/>
          <w:b/>
          <w:sz w:val="24"/>
          <w:szCs w:val="22"/>
        </w:rPr>
        <w:t>Ten</w:t>
      </w:r>
      <w:r w:rsidRPr="005A2883">
        <w:rPr>
          <w:rFonts w:cs="Arial"/>
          <w:bCs/>
          <w:sz w:val="24"/>
          <w:szCs w:val="22"/>
        </w:rPr>
        <w:t xml:space="preserve"> risks rated at a medium level (63%),</w:t>
      </w:r>
    </w:p>
    <w:p w14:paraId="449860A0" w14:textId="77777777" w:rsidR="005A2883" w:rsidRPr="005A2883" w:rsidRDefault="005A5D49" w:rsidP="005A2883">
      <w:pPr>
        <w:numPr>
          <w:ilvl w:val="0"/>
          <w:numId w:val="22"/>
        </w:numPr>
        <w:jc w:val="both"/>
        <w:rPr>
          <w:rFonts w:cs="Arial"/>
          <w:b/>
          <w:sz w:val="24"/>
          <w:szCs w:val="22"/>
        </w:rPr>
      </w:pPr>
      <w:r w:rsidRPr="005A2883">
        <w:rPr>
          <w:rFonts w:cs="Arial"/>
          <w:b/>
          <w:sz w:val="24"/>
          <w:szCs w:val="22"/>
        </w:rPr>
        <w:t>Five</w:t>
      </w:r>
      <w:r w:rsidRPr="005A2883">
        <w:rPr>
          <w:rFonts w:cs="Arial"/>
          <w:bCs/>
          <w:sz w:val="24"/>
          <w:szCs w:val="22"/>
        </w:rPr>
        <w:t xml:space="preserve"> risks rated as low (31%).</w:t>
      </w:r>
    </w:p>
    <w:p w14:paraId="449860A1" w14:textId="77777777" w:rsidR="005A2883" w:rsidRPr="005A2883" w:rsidRDefault="005A5D49" w:rsidP="005A2883">
      <w:pPr>
        <w:keepNext/>
        <w:tabs>
          <w:tab w:val="left" w:pos="567"/>
        </w:tabs>
        <w:outlineLvl w:val="0"/>
        <w:rPr>
          <w:b/>
          <w:szCs w:val="22"/>
        </w:rPr>
      </w:pPr>
      <w:r w:rsidRPr="005A2883">
        <w:rPr>
          <w:b/>
          <w:szCs w:val="22"/>
        </w:rPr>
        <w:lastRenderedPageBreak/>
        <w:t>CORPORATE OUTCOMES</w:t>
      </w:r>
    </w:p>
    <w:p w14:paraId="449860A2" w14:textId="77777777" w:rsidR="005A2883" w:rsidRPr="005A2883" w:rsidRDefault="005A5D49" w:rsidP="005A2883">
      <w:pPr>
        <w:keepNext/>
        <w:tabs>
          <w:tab w:val="left" w:pos="567"/>
        </w:tabs>
        <w:ind w:left="567" w:hanging="567"/>
        <w:outlineLvl w:val="0"/>
        <w:rPr>
          <w:b/>
          <w:szCs w:val="22"/>
        </w:rPr>
      </w:pPr>
    </w:p>
    <w:p w14:paraId="449860A3" w14:textId="77777777" w:rsidR="005A2883" w:rsidRPr="005A2883" w:rsidRDefault="005A5D49" w:rsidP="005A2883">
      <w:pPr>
        <w:keepNext/>
        <w:numPr>
          <w:ilvl w:val="0"/>
          <w:numId w:val="20"/>
        </w:numPr>
        <w:tabs>
          <w:tab w:val="left" w:pos="567"/>
        </w:tabs>
        <w:spacing w:after="160" w:line="256" w:lineRule="auto"/>
        <w:contextualSpacing/>
        <w:outlineLvl w:val="0"/>
        <w:rPr>
          <w:rFonts w:eastAsia="Calibri"/>
          <w:i/>
          <w:szCs w:val="22"/>
          <w:lang w:eastAsia="en-US"/>
        </w:rPr>
      </w:pPr>
      <w:r w:rsidRPr="005A2883">
        <w:rPr>
          <w:rFonts w:eastAsia="Calibri"/>
          <w:szCs w:val="22"/>
          <w:lang w:eastAsia="en-US"/>
        </w:rPr>
        <w:t xml:space="preserve"> The report relates to the following corporate priorities:</w:t>
      </w:r>
      <w:r w:rsidRPr="005A2883">
        <w:rPr>
          <w:rFonts w:eastAsia="Calibri"/>
          <w:b/>
          <w:szCs w:val="22"/>
          <w:lang w:eastAsia="en-US"/>
        </w:rPr>
        <w:t xml:space="preserve"> </w:t>
      </w:r>
    </w:p>
    <w:p w14:paraId="449860A4" w14:textId="77777777" w:rsidR="005A2883" w:rsidRPr="005A2883" w:rsidRDefault="005A5D49" w:rsidP="005A2883">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63033B" w14:paraId="449860AA" w14:textId="77777777" w:rsidTr="005A2883">
        <w:tc>
          <w:tcPr>
            <w:tcW w:w="4423" w:type="dxa"/>
            <w:tcBorders>
              <w:top w:val="single" w:sz="4" w:space="0" w:color="auto"/>
              <w:left w:val="single" w:sz="4" w:space="0" w:color="auto"/>
              <w:bottom w:val="single" w:sz="4" w:space="0" w:color="auto"/>
              <w:right w:val="single" w:sz="4" w:space="0" w:color="auto"/>
            </w:tcBorders>
          </w:tcPr>
          <w:p w14:paraId="449860A5" w14:textId="77777777" w:rsidR="005A2883" w:rsidRPr="005A2883" w:rsidRDefault="005A5D49" w:rsidP="005A2883">
            <w:pPr>
              <w:rPr>
                <w:szCs w:val="22"/>
              </w:rPr>
            </w:pPr>
            <w:r w:rsidRPr="005A2883">
              <w:rPr>
                <w:szCs w:val="22"/>
              </w:rPr>
              <w:t>An exemplary council</w:t>
            </w:r>
          </w:p>
          <w:p w14:paraId="449860A6" w14:textId="77777777" w:rsidR="005A2883" w:rsidRPr="005A2883" w:rsidRDefault="005A5D49" w:rsidP="005A2883">
            <w:pPr>
              <w:rPr>
                <w:szCs w:val="22"/>
              </w:rPr>
            </w:pPr>
          </w:p>
        </w:tc>
        <w:tc>
          <w:tcPr>
            <w:tcW w:w="850" w:type="dxa"/>
            <w:tcBorders>
              <w:top w:val="single" w:sz="4" w:space="0" w:color="auto"/>
              <w:left w:val="single" w:sz="4" w:space="0" w:color="auto"/>
              <w:bottom w:val="single" w:sz="4" w:space="0" w:color="auto"/>
              <w:right w:val="single" w:sz="4" w:space="0" w:color="auto"/>
            </w:tcBorders>
            <w:hideMark/>
          </w:tcPr>
          <w:p w14:paraId="449860A7" w14:textId="77777777" w:rsidR="005A2883" w:rsidRPr="005A2883" w:rsidRDefault="005A5D49" w:rsidP="005A2883">
            <w:pPr>
              <w:jc w:val="center"/>
              <w:rPr>
                <w:szCs w:val="22"/>
              </w:rPr>
            </w:pPr>
            <w:r w:rsidRPr="005A2883">
              <w:rPr>
                <w:rFonts w:ascii="Wingdings" w:hAnsi="Wingdings"/>
              </w:rPr>
              <w:t>ü</w:t>
            </w:r>
          </w:p>
        </w:tc>
        <w:tc>
          <w:tcPr>
            <w:tcW w:w="3402" w:type="dxa"/>
            <w:tcBorders>
              <w:top w:val="single" w:sz="4" w:space="0" w:color="auto"/>
              <w:left w:val="single" w:sz="4" w:space="0" w:color="auto"/>
              <w:bottom w:val="single" w:sz="4" w:space="0" w:color="auto"/>
              <w:right w:val="single" w:sz="4" w:space="0" w:color="auto"/>
            </w:tcBorders>
            <w:hideMark/>
          </w:tcPr>
          <w:p w14:paraId="449860A8" w14:textId="77777777" w:rsidR="005A2883" w:rsidRPr="005A2883" w:rsidRDefault="005A5D49" w:rsidP="005A2883">
            <w:pPr>
              <w:rPr>
                <w:szCs w:val="22"/>
              </w:rPr>
            </w:pPr>
            <w:r w:rsidRPr="005A2883">
              <w:rPr>
                <w:szCs w:val="22"/>
              </w:rPr>
              <w:t>Thriving communities</w:t>
            </w:r>
          </w:p>
        </w:tc>
        <w:tc>
          <w:tcPr>
            <w:tcW w:w="851" w:type="dxa"/>
            <w:tcBorders>
              <w:top w:val="single" w:sz="4" w:space="0" w:color="auto"/>
              <w:left w:val="single" w:sz="4" w:space="0" w:color="auto"/>
              <w:bottom w:val="single" w:sz="4" w:space="0" w:color="auto"/>
              <w:right w:val="single" w:sz="4" w:space="0" w:color="auto"/>
            </w:tcBorders>
          </w:tcPr>
          <w:p w14:paraId="449860A9" w14:textId="77777777" w:rsidR="005A2883" w:rsidRPr="005A2883" w:rsidRDefault="005A5D49" w:rsidP="005A2883">
            <w:pPr>
              <w:rPr>
                <w:szCs w:val="22"/>
              </w:rPr>
            </w:pPr>
          </w:p>
        </w:tc>
      </w:tr>
      <w:tr w:rsidR="0063033B" w14:paraId="449860AF" w14:textId="77777777" w:rsidTr="005A2883">
        <w:tc>
          <w:tcPr>
            <w:tcW w:w="4423" w:type="dxa"/>
            <w:tcBorders>
              <w:top w:val="single" w:sz="4" w:space="0" w:color="auto"/>
              <w:left w:val="single" w:sz="4" w:space="0" w:color="auto"/>
              <w:bottom w:val="single" w:sz="4" w:space="0" w:color="auto"/>
              <w:right w:val="single" w:sz="4" w:space="0" w:color="auto"/>
            </w:tcBorders>
            <w:hideMark/>
          </w:tcPr>
          <w:p w14:paraId="449860AB" w14:textId="77777777" w:rsidR="005A2883" w:rsidRPr="005A2883" w:rsidRDefault="005A5D49" w:rsidP="005A2883">
            <w:pPr>
              <w:rPr>
                <w:szCs w:val="22"/>
              </w:rPr>
            </w:pPr>
            <w:r w:rsidRPr="005A2883">
              <w:rPr>
                <w:szCs w:val="22"/>
              </w:rPr>
              <w:t>A fair local economy that works for everyone</w:t>
            </w:r>
          </w:p>
        </w:tc>
        <w:tc>
          <w:tcPr>
            <w:tcW w:w="850" w:type="dxa"/>
            <w:tcBorders>
              <w:top w:val="single" w:sz="4" w:space="0" w:color="auto"/>
              <w:left w:val="single" w:sz="4" w:space="0" w:color="auto"/>
              <w:bottom w:val="single" w:sz="4" w:space="0" w:color="auto"/>
              <w:right w:val="single" w:sz="4" w:space="0" w:color="auto"/>
            </w:tcBorders>
          </w:tcPr>
          <w:p w14:paraId="449860AC" w14:textId="77777777" w:rsidR="005A2883" w:rsidRPr="005A2883" w:rsidRDefault="005A5D49" w:rsidP="005A2883">
            <w:pPr>
              <w:rPr>
                <w:szCs w:val="22"/>
              </w:rPr>
            </w:pPr>
          </w:p>
        </w:tc>
        <w:tc>
          <w:tcPr>
            <w:tcW w:w="3402" w:type="dxa"/>
            <w:tcBorders>
              <w:top w:val="single" w:sz="4" w:space="0" w:color="auto"/>
              <w:left w:val="single" w:sz="4" w:space="0" w:color="auto"/>
              <w:bottom w:val="single" w:sz="4" w:space="0" w:color="auto"/>
              <w:right w:val="single" w:sz="4" w:space="0" w:color="auto"/>
            </w:tcBorders>
            <w:hideMark/>
          </w:tcPr>
          <w:p w14:paraId="449860AD" w14:textId="77777777" w:rsidR="005A2883" w:rsidRPr="005A2883" w:rsidRDefault="005A5D49" w:rsidP="005A2883">
            <w:pPr>
              <w:rPr>
                <w:szCs w:val="22"/>
              </w:rPr>
            </w:pPr>
            <w:r w:rsidRPr="005A2883">
              <w:rPr>
                <w:szCs w:val="22"/>
              </w:rPr>
              <w:t>Good homes, green spaces, healthy places</w:t>
            </w:r>
          </w:p>
        </w:tc>
        <w:tc>
          <w:tcPr>
            <w:tcW w:w="851" w:type="dxa"/>
            <w:tcBorders>
              <w:top w:val="single" w:sz="4" w:space="0" w:color="auto"/>
              <w:left w:val="single" w:sz="4" w:space="0" w:color="auto"/>
              <w:bottom w:val="single" w:sz="4" w:space="0" w:color="auto"/>
              <w:right w:val="single" w:sz="4" w:space="0" w:color="auto"/>
            </w:tcBorders>
          </w:tcPr>
          <w:p w14:paraId="449860AE" w14:textId="77777777" w:rsidR="005A2883" w:rsidRPr="005A2883" w:rsidRDefault="005A5D49" w:rsidP="005A2883">
            <w:pPr>
              <w:rPr>
                <w:szCs w:val="22"/>
              </w:rPr>
            </w:pPr>
          </w:p>
        </w:tc>
      </w:tr>
    </w:tbl>
    <w:p w14:paraId="449860B0" w14:textId="77777777" w:rsidR="005A2883" w:rsidRPr="005A2883" w:rsidRDefault="005A5D49" w:rsidP="005A2883"/>
    <w:p w14:paraId="449860B1" w14:textId="77777777" w:rsidR="005A2883" w:rsidRPr="005A2883" w:rsidRDefault="005A5D49" w:rsidP="005A2883">
      <w:pPr>
        <w:rPr>
          <w:szCs w:val="22"/>
        </w:rPr>
      </w:pPr>
    </w:p>
    <w:p w14:paraId="449860B2" w14:textId="77777777" w:rsidR="005A2883" w:rsidRPr="005A2883" w:rsidRDefault="005A5D49" w:rsidP="005A2883">
      <w:pPr>
        <w:tabs>
          <w:tab w:val="left" w:pos="567"/>
        </w:tabs>
        <w:ind w:left="567" w:hanging="567"/>
        <w:rPr>
          <w:b/>
          <w:szCs w:val="22"/>
        </w:rPr>
      </w:pPr>
      <w:r w:rsidRPr="005A2883">
        <w:rPr>
          <w:b/>
          <w:szCs w:val="22"/>
        </w:rPr>
        <w:t>BACKGROUND TO THE REPORT</w:t>
      </w:r>
    </w:p>
    <w:p w14:paraId="449860B3" w14:textId="77777777" w:rsidR="005A2883" w:rsidRPr="005A2883" w:rsidRDefault="005A5D49" w:rsidP="005A2883">
      <w:pPr>
        <w:tabs>
          <w:tab w:val="left" w:pos="567"/>
        </w:tabs>
        <w:ind w:left="567" w:hanging="567"/>
        <w:rPr>
          <w:b/>
          <w:szCs w:val="22"/>
        </w:rPr>
      </w:pPr>
    </w:p>
    <w:p w14:paraId="449860B4" w14:textId="77777777" w:rsidR="005A2883" w:rsidRPr="005A2883" w:rsidRDefault="005A5D49" w:rsidP="005A2883">
      <w:pPr>
        <w:numPr>
          <w:ilvl w:val="0"/>
          <w:numId w:val="20"/>
        </w:numPr>
        <w:tabs>
          <w:tab w:val="left" w:pos="567"/>
        </w:tabs>
        <w:spacing w:after="160" w:line="256" w:lineRule="auto"/>
        <w:contextualSpacing/>
        <w:rPr>
          <w:rFonts w:eastAsia="Calibri"/>
          <w:i/>
          <w:szCs w:val="22"/>
          <w:lang w:eastAsia="en-US"/>
        </w:rPr>
      </w:pPr>
      <w:r w:rsidRPr="005A2883">
        <w:rPr>
          <w:rFonts w:eastAsia="Calibri"/>
          <w:i/>
          <w:szCs w:val="22"/>
          <w:lang w:eastAsia="en-US"/>
        </w:rPr>
        <w:t xml:space="preserve"> </w:t>
      </w:r>
      <w:r w:rsidRPr="005A2883">
        <w:rPr>
          <w:rFonts w:eastAsia="Calibri"/>
          <w:iCs/>
          <w:szCs w:val="22"/>
          <w:lang w:eastAsia="en-US"/>
        </w:rPr>
        <w:t xml:space="preserve">Risk management is a cornerstone of good corporate governance and the Council has established a system of risk management which involves the creation of risk registers at a strategic, service level and individual project level. </w:t>
      </w:r>
    </w:p>
    <w:p w14:paraId="449860B5" w14:textId="77777777" w:rsidR="005A2883" w:rsidRPr="005A2883" w:rsidRDefault="005A5D49" w:rsidP="005A2883">
      <w:pPr>
        <w:tabs>
          <w:tab w:val="left" w:pos="567"/>
        </w:tabs>
        <w:spacing w:after="160" w:line="256" w:lineRule="auto"/>
        <w:ind w:left="720"/>
        <w:contextualSpacing/>
        <w:rPr>
          <w:rFonts w:eastAsia="Calibri"/>
          <w:i/>
          <w:szCs w:val="22"/>
          <w:lang w:eastAsia="en-US"/>
        </w:rPr>
      </w:pPr>
    </w:p>
    <w:p w14:paraId="449860B6" w14:textId="77777777" w:rsidR="005A2883" w:rsidRPr="005A2883" w:rsidRDefault="005A5D49" w:rsidP="005A2883">
      <w:pPr>
        <w:numPr>
          <w:ilvl w:val="0"/>
          <w:numId w:val="20"/>
        </w:numPr>
        <w:tabs>
          <w:tab w:val="left" w:pos="567"/>
        </w:tabs>
        <w:spacing w:after="160" w:line="256" w:lineRule="auto"/>
        <w:contextualSpacing/>
        <w:rPr>
          <w:rFonts w:eastAsia="Calibri"/>
          <w:iCs/>
          <w:szCs w:val="22"/>
          <w:lang w:eastAsia="en-US"/>
        </w:rPr>
      </w:pPr>
      <w:r w:rsidRPr="005A2883">
        <w:rPr>
          <w:rFonts w:eastAsia="Calibri"/>
          <w:iCs/>
          <w:szCs w:val="22"/>
          <w:lang w:eastAsia="en-US"/>
        </w:rPr>
        <w:t>Compiling the Strategic Ri</w:t>
      </w:r>
      <w:r w:rsidRPr="005A2883">
        <w:rPr>
          <w:rFonts w:eastAsia="Calibri"/>
          <w:iCs/>
          <w:szCs w:val="22"/>
          <w:lang w:eastAsia="en-US"/>
        </w:rPr>
        <w:t xml:space="preserve">sk Register requires a collective effort Involving Leadership Team (LT) to identify the key strategic risks facing the Council. LT are responsible for identifying, owning, monitoring and mitigating strategic risk within the organisation including ensuring </w:t>
      </w:r>
      <w:r w:rsidRPr="005A2883">
        <w:rPr>
          <w:rFonts w:eastAsia="Calibri"/>
          <w:iCs/>
          <w:szCs w:val="22"/>
          <w:lang w:eastAsia="en-US"/>
        </w:rPr>
        <w:t xml:space="preserve">that any actions against each risk are completed. </w:t>
      </w:r>
    </w:p>
    <w:p w14:paraId="449860B7" w14:textId="77777777" w:rsidR="005A2883" w:rsidRPr="005A2883" w:rsidRDefault="005A5D49" w:rsidP="005A2883">
      <w:pPr>
        <w:tabs>
          <w:tab w:val="left" w:pos="567"/>
        </w:tabs>
        <w:ind w:left="567" w:hanging="567"/>
        <w:rPr>
          <w:i/>
          <w:szCs w:val="22"/>
        </w:rPr>
      </w:pPr>
    </w:p>
    <w:p w14:paraId="449860B8" w14:textId="77777777" w:rsidR="005A2883" w:rsidRPr="005A2883" w:rsidRDefault="005A5D49" w:rsidP="005A2883">
      <w:pPr>
        <w:tabs>
          <w:tab w:val="left" w:pos="567"/>
        </w:tabs>
        <w:rPr>
          <w:rFonts w:cs="Arial"/>
          <w:b/>
        </w:rPr>
      </w:pPr>
      <w:r w:rsidRPr="005A2883">
        <w:rPr>
          <w:rFonts w:cs="Arial"/>
          <w:b/>
        </w:rPr>
        <w:t xml:space="preserve">HOW THE RISKS ARE SCORED </w:t>
      </w:r>
    </w:p>
    <w:p w14:paraId="449860B9" w14:textId="77777777" w:rsidR="005A2883" w:rsidRPr="005A2883" w:rsidRDefault="005A5D49" w:rsidP="005A2883">
      <w:pPr>
        <w:tabs>
          <w:tab w:val="left" w:pos="567"/>
        </w:tabs>
        <w:rPr>
          <w:rFonts w:cs="Arial"/>
          <w:b/>
        </w:rPr>
      </w:pPr>
    </w:p>
    <w:p w14:paraId="449860BA"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All risks are scored on a 4x4 risk matrix as outlined below:</w:t>
      </w:r>
    </w:p>
    <w:tbl>
      <w:tblPr>
        <w:tblStyle w:val="TableGrid1"/>
        <w:tblW w:w="7899" w:type="dxa"/>
        <w:tblInd w:w="426" w:type="dxa"/>
        <w:tblLook w:val="04A0" w:firstRow="1" w:lastRow="0" w:firstColumn="1" w:lastColumn="0" w:noHBand="0" w:noVBand="1"/>
      </w:tblPr>
      <w:tblGrid>
        <w:gridCol w:w="621"/>
        <w:gridCol w:w="1748"/>
        <w:gridCol w:w="1901"/>
        <w:gridCol w:w="1901"/>
        <w:gridCol w:w="1728"/>
      </w:tblGrid>
      <w:tr w:rsidR="0063033B" w14:paraId="449860CA" w14:textId="77777777" w:rsidTr="005A2883">
        <w:trPr>
          <w:trHeight w:val="434"/>
        </w:trPr>
        <w:tc>
          <w:tcPr>
            <w:tcW w:w="621" w:type="dxa"/>
            <w:tcBorders>
              <w:top w:val="nil"/>
              <w:left w:val="nil"/>
              <w:bottom w:val="nil"/>
              <w:right w:val="single" w:sz="4" w:space="0" w:color="auto"/>
            </w:tcBorders>
            <w:hideMark/>
          </w:tcPr>
          <w:p w14:paraId="449860BB" w14:textId="77777777" w:rsidR="005A2883" w:rsidRPr="005A2883" w:rsidRDefault="005A5D49" w:rsidP="005A2883">
            <w:pPr>
              <w:jc w:val="center"/>
              <w:rPr>
                <w:rFonts w:ascii="Calibri" w:hAnsi="Calibri"/>
                <w:sz w:val="18"/>
                <w:szCs w:val="18"/>
              </w:rPr>
            </w:pPr>
            <w:r w:rsidRPr="005A2883">
              <w:rPr>
                <w:rFonts w:ascii="Calibri" w:hAnsi="Calibri"/>
                <w:sz w:val="18"/>
                <w:szCs w:val="18"/>
              </w:rPr>
              <w:t>4</w:t>
            </w:r>
          </w:p>
        </w:tc>
        <w:tc>
          <w:tcPr>
            <w:tcW w:w="1748" w:type="dxa"/>
            <w:tcBorders>
              <w:top w:val="single" w:sz="4" w:space="0" w:color="auto"/>
              <w:left w:val="single" w:sz="4" w:space="0" w:color="auto"/>
              <w:bottom w:val="single" w:sz="4" w:space="0" w:color="auto"/>
              <w:right w:val="single" w:sz="4" w:space="0" w:color="auto"/>
            </w:tcBorders>
            <w:shd w:val="clear" w:color="auto" w:fill="92D050"/>
          </w:tcPr>
          <w:p w14:paraId="449860BC" w14:textId="77777777" w:rsidR="005A2883" w:rsidRPr="005A2883" w:rsidRDefault="005A5D49" w:rsidP="005A2883">
            <w:pPr>
              <w:jc w:val="center"/>
              <w:rPr>
                <w:rFonts w:cs="Arial"/>
                <w:sz w:val="18"/>
                <w:szCs w:val="18"/>
              </w:rPr>
            </w:pPr>
          </w:p>
          <w:p w14:paraId="449860BD" w14:textId="77777777" w:rsidR="005A2883" w:rsidRPr="005A2883" w:rsidRDefault="005A5D49" w:rsidP="005A2883">
            <w:pPr>
              <w:jc w:val="center"/>
              <w:rPr>
                <w:rFonts w:cs="Arial"/>
                <w:sz w:val="18"/>
                <w:szCs w:val="18"/>
              </w:rPr>
            </w:pPr>
            <w:r w:rsidRPr="005A2883">
              <w:rPr>
                <w:rFonts w:cs="Arial"/>
                <w:sz w:val="18"/>
                <w:szCs w:val="18"/>
              </w:rPr>
              <w:t>4</w:t>
            </w:r>
          </w:p>
          <w:p w14:paraId="449860BE" w14:textId="77777777" w:rsidR="005A2883" w:rsidRPr="005A2883" w:rsidRDefault="005A5D49" w:rsidP="005A2883">
            <w:pPr>
              <w:jc w:val="center"/>
              <w:rPr>
                <w:rFonts w:cs="Arial"/>
                <w:sz w:val="18"/>
                <w:szCs w:val="18"/>
              </w:rPr>
            </w:pPr>
            <w:r w:rsidRPr="005A2883">
              <w:rPr>
                <w:rFonts w:cs="Arial"/>
                <w:sz w:val="18"/>
                <w:szCs w:val="18"/>
              </w:rPr>
              <w:t xml:space="preserve">Low </w:t>
            </w:r>
          </w:p>
          <w:p w14:paraId="449860BF" w14:textId="77777777" w:rsidR="005A2883" w:rsidRPr="005A2883" w:rsidRDefault="005A5D49" w:rsidP="005A2883">
            <w:pPr>
              <w:jc w:val="center"/>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shd w:val="clear" w:color="auto" w:fill="FFC000"/>
          </w:tcPr>
          <w:p w14:paraId="449860C0" w14:textId="77777777" w:rsidR="005A2883" w:rsidRPr="005A2883" w:rsidRDefault="005A5D49" w:rsidP="005A2883">
            <w:pPr>
              <w:jc w:val="center"/>
              <w:rPr>
                <w:rFonts w:cs="Arial"/>
                <w:sz w:val="18"/>
                <w:szCs w:val="18"/>
              </w:rPr>
            </w:pPr>
          </w:p>
          <w:p w14:paraId="449860C1" w14:textId="77777777" w:rsidR="005A2883" w:rsidRPr="005A2883" w:rsidRDefault="005A5D49" w:rsidP="005A2883">
            <w:pPr>
              <w:jc w:val="center"/>
              <w:rPr>
                <w:rFonts w:cs="Arial"/>
                <w:sz w:val="18"/>
                <w:szCs w:val="18"/>
              </w:rPr>
            </w:pPr>
            <w:r w:rsidRPr="005A2883">
              <w:rPr>
                <w:rFonts w:cs="Arial"/>
                <w:sz w:val="18"/>
                <w:szCs w:val="18"/>
              </w:rPr>
              <w:t>8</w:t>
            </w:r>
          </w:p>
          <w:p w14:paraId="449860C2" w14:textId="77777777" w:rsidR="005A2883" w:rsidRPr="005A2883" w:rsidRDefault="005A5D49" w:rsidP="005A2883">
            <w:pPr>
              <w:jc w:val="center"/>
              <w:rPr>
                <w:rFonts w:cs="Arial"/>
                <w:sz w:val="18"/>
                <w:szCs w:val="18"/>
              </w:rPr>
            </w:pPr>
            <w:r w:rsidRPr="005A2883">
              <w:rPr>
                <w:rFonts w:cs="Arial"/>
                <w:sz w:val="18"/>
                <w:szCs w:val="18"/>
              </w:rPr>
              <w:t>Medium</w:t>
            </w:r>
          </w:p>
        </w:tc>
        <w:tc>
          <w:tcPr>
            <w:tcW w:w="1901" w:type="dxa"/>
            <w:tcBorders>
              <w:top w:val="single" w:sz="4" w:space="0" w:color="auto"/>
              <w:left w:val="single" w:sz="4" w:space="0" w:color="auto"/>
              <w:bottom w:val="single" w:sz="4" w:space="0" w:color="auto"/>
              <w:right w:val="single" w:sz="4" w:space="0" w:color="auto"/>
            </w:tcBorders>
            <w:shd w:val="clear" w:color="auto" w:fill="FF0000"/>
          </w:tcPr>
          <w:p w14:paraId="449860C3" w14:textId="77777777" w:rsidR="005A2883" w:rsidRPr="005A2883" w:rsidRDefault="005A5D49" w:rsidP="005A2883">
            <w:pPr>
              <w:jc w:val="center"/>
              <w:rPr>
                <w:rFonts w:cs="Arial"/>
                <w:sz w:val="18"/>
                <w:szCs w:val="18"/>
              </w:rPr>
            </w:pPr>
          </w:p>
          <w:p w14:paraId="449860C4" w14:textId="77777777" w:rsidR="005A2883" w:rsidRPr="005A2883" w:rsidRDefault="005A5D49" w:rsidP="005A2883">
            <w:pPr>
              <w:jc w:val="center"/>
              <w:rPr>
                <w:rFonts w:cs="Arial"/>
                <w:sz w:val="18"/>
                <w:szCs w:val="18"/>
              </w:rPr>
            </w:pPr>
            <w:r w:rsidRPr="005A2883">
              <w:rPr>
                <w:rFonts w:cs="Arial"/>
                <w:sz w:val="18"/>
                <w:szCs w:val="18"/>
              </w:rPr>
              <w:t>12</w:t>
            </w:r>
          </w:p>
          <w:p w14:paraId="449860C5" w14:textId="77777777" w:rsidR="005A2883" w:rsidRPr="005A2883" w:rsidRDefault="005A5D49" w:rsidP="005A2883">
            <w:pPr>
              <w:jc w:val="center"/>
              <w:rPr>
                <w:rFonts w:cs="Arial"/>
                <w:sz w:val="18"/>
                <w:szCs w:val="18"/>
              </w:rPr>
            </w:pPr>
            <w:r w:rsidRPr="005A2883">
              <w:rPr>
                <w:rFonts w:cs="Arial"/>
                <w:sz w:val="18"/>
                <w:szCs w:val="18"/>
              </w:rPr>
              <w:t xml:space="preserve">High </w:t>
            </w:r>
          </w:p>
          <w:p w14:paraId="449860C6" w14:textId="77777777" w:rsidR="005A2883" w:rsidRPr="005A2883" w:rsidRDefault="005A5D49" w:rsidP="005A2883">
            <w:pPr>
              <w:jc w:val="center"/>
              <w:rPr>
                <w:rFonts w:cs="Arial"/>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0000"/>
          </w:tcPr>
          <w:p w14:paraId="449860C7" w14:textId="77777777" w:rsidR="005A2883" w:rsidRPr="005A2883" w:rsidRDefault="005A5D49" w:rsidP="005A2883">
            <w:pPr>
              <w:jc w:val="center"/>
              <w:rPr>
                <w:rFonts w:cs="Arial"/>
                <w:sz w:val="18"/>
                <w:szCs w:val="18"/>
              </w:rPr>
            </w:pPr>
          </w:p>
          <w:p w14:paraId="449860C8" w14:textId="77777777" w:rsidR="005A2883" w:rsidRPr="005A2883" w:rsidRDefault="005A5D49" w:rsidP="005A2883">
            <w:pPr>
              <w:jc w:val="center"/>
              <w:rPr>
                <w:rFonts w:cs="Arial"/>
                <w:sz w:val="18"/>
                <w:szCs w:val="18"/>
              </w:rPr>
            </w:pPr>
            <w:r w:rsidRPr="005A2883">
              <w:rPr>
                <w:rFonts w:cs="Arial"/>
                <w:sz w:val="18"/>
                <w:szCs w:val="18"/>
              </w:rPr>
              <w:t>16</w:t>
            </w:r>
          </w:p>
          <w:p w14:paraId="449860C9" w14:textId="77777777" w:rsidR="005A2883" w:rsidRPr="005A2883" w:rsidRDefault="005A5D49" w:rsidP="005A2883">
            <w:pPr>
              <w:jc w:val="center"/>
              <w:rPr>
                <w:rFonts w:cs="Arial"/>
                <w:sz w:val="18"/>
                <w:szCs w:val="18"/>
              </w:rPr>
            </w:pPr>
            <w:r w:rsidRPr="005A2883">
              <w:rPr>
                <w:rFonts w:cs="Arial"/>
                <w:sz w:val="18"/>
                <w:szCs w:val="18"/>
              </w:rPr>
              <w:t>High</w:t>
            </w:r>
          </w:p>
        </w:tc>
      </w:tr>
      <w:tr w:rsidR="0063033B" w14:paraId="449860D8" w14:textId="77777777" w:rsidTr="005A2883">
        <w:trPr>
          <w:trHeight w:val="705"/>
        </w:trPr>
        <w:tc>
          <w:tcPr>
            <w:tcW w:w="621" w:type="dxa"/>
            <w:tcBorders>
              <w:top w:val="nil"/>
              <w:left w:val="nil"/>
              <w:bottom w:val="nil"/>
              <w:right w:val="single" w:sz="4" w:space="0" w:color="auto"/>
            </w:tcBorders>
            <w:hideMark/>
          </w:tcPr>
          <w:p w14:paraId="449860CB" w14:textId="77777777" w:rsidR="005A2883" w:rsidRPr="005A2883" w:rsidRDefault="005A5D49" w:rsidP="005A2883">
            <w:pPr>
              <w:jc w:val="center"/>
              <w:rPr>
                <w:rFonts w:ascii="Calibri" w:hAnsi="Calibri"/>
                <w:sz w:val="18"/>
                <w:szCs w:val="18"/>
              </w:rPr>
            </w:pPr>
            <w:r w:rsidRPr="005A2883">
              <w:rPr>
                <w:rFonts w:ascii="Calibri" w:hAnsi="Calibri"/>
                <w:sz w:val="18"/>
                <w:szCs w:val="18"/>
              </w:rPr>
              <w:t>3</w:t>
            </w:r>
          </w:p>
        </w:tc>
        <w:tc>
          <w:tcPr>
            <w:tcW w:w="1748" w:type="dxa"/>
            <w:tcBorders>
              <w:top w:val="single" w:sz="4" w:space="0" w:color="auto"/>
              <w:left w:val="single" w:sz="4" w:space="0" w:color="auto"/>
              <w:bottom w:val="single" w:sz="4" w:space="0" w:color="auto"/>
              <w:right w:val="single" w:sz="4" w:space="0" w:color="auto"/>
            </w:tcBorders>
            <w:shd w:val="clear" w:color="auto" w:fill="92D050"/>
          </w:tcPr>
          <w:p w14:paraId="449860CC" w14:textId="77777777" w:rsidR="005A2883" w:rsidRPr="005A2883" w:rsidRDefault="005A5D49" w:rsidP="005A2883">
            <w:pPr>
              <w:jc w:val="center"/>
              <w:rPr>
                <w:rFonts w:cs="Arial"/>
                <w:sz w:val="18"/>
                <w:szCs w:val="18"/>
              </w:rPr>
            </w:pPr>
          </w:p>
          <w:p w14:paraId="449860CD" w14:textId="77777777" w:rsidR="005A2883" w:rsidRPr="005A2883" w:rsidRDefault="005A5D49" w:rsidP="005A2883">
            <w:pPr>
              <w:jc w:val="center"/>
              <w:rPr>
                <w:rFonts w:cs="Arial"/>
                <w:sz w:val="18"/>
                <w:szCs w:val="18"/>
              </w:rPr>
            </w:pPr>
            <w:r w:rsidRPr="005A2883">
              <w:rPr>
                <w:rFonts w:cs="Arial"/>
                <w:sz w:val="18"/>
                <w:szCs w:val="18"/>
              </w:rPr>
              <w:t>3</w:t>
            </w:r>
          </w:p>
          <w:p w14:paraId="449860CE" w14:textId="77777777" w:rsidR="005A2883" w:rsidRPr="005A2883" w:rsidRDefault="005A5D49" w:rsidP="005A2883">
            <w:pPr>
              <w:jc w:val="center"/>
              <w:rPr>
                <w:rFonts w:cs="Arial"/>
                <w:sz w:val="18"/>
                <w:szCs w:val="18"/>
              </w:rPr>
            </w:pPr>
            <w:r w:rsidRPr="005A2883">
              <w:rPr>
                <w:rFonts w:cs="Arial"/>
                <w:sz w:val="18"/>
                <w:szCs w:val="18"/>
              </w:rPr>
              <w:t>Low</w:t>
            </w:r>
          </w:p>
        </w:tc>
        <w:tc>
          <w:tcPr>
            <w:tcW w:w="1901" w:type="dxa"/>
            <w:tcBorders>
              <w:top w:val="single" w:sz="4" w:space="0" w:color="auto"/>
              <w:left w:val="single" w:sz="4" w:space="0" w:color="auto"/>
              <w:bottom w:val="single" w:sz="4" w:space="0" w:color="auto"/>
              <w:right w:val="single" w:sz="4" w:space="0" w:color="auto"/>
            </w:tcBorders>
            <w:shd w:val="clear" w:color="auto" w:fill="FFC000"/>
          </w:tcPr>
          <w:p w14:paraId="449860CF" w14:textId="77777777" w:rsidR="005A2883" w:rsidRPr="005A2883" w:rsidRDefault="005A5D49" w:rsidP="005A2883">
            <w:pPr>
              <w:jc w:val="center"/>
              <w:rPr>
                <w:rFonts w:cs="Arial"/>
                <w:sz w:val="18"/>
                <w:szCs w:val="18"/>
              </w:rPr>
            </w:pPr>
          </w:p>
          <w:p w14:paraId="449860D0" w14:textId="77777777" w:rsidR="005A2883" w:rsidRPr="005A2883" w:rsidRDefault="005A5D49" w:rsidP="005A2883">
            <w:pPr>
              <w:jc w:val="center"/>
              <w:rPr>
                <w:rFonts w:cs="Arial"/>
                <w:sz w:val="18"/>
                <w:szCs w:val="18"/>
              </w:rPr>
            </w:pPr>
            <w:r w:rsidRPr="005A2883">
              <w:rPr>
                <w:rFonts w:cs="Arial"/>
                <w:sz w:val="18"/>
                <w:szCs w:val="18"/>
              </w:rPr>
              <w:t>6</w:t>
            </w:r>
          </w:p>
          <w:p w14:paraId="449860D1" w14:textId="77777777" w:rsidR="005A2883" w:rsidRPr="005A2883" w:rsidRDefault="005A5D49" w:rsidP="005A2883">
            <w:pPr>
              <w:jc w:val="center"/>
              <w:rPr>
                <w:rFonts w:cs="Arial"/>
                <w:sz w:val="18"/>
                <w:szCs w:val="18"/>
              </w:rPr>
            </w:pPr>
            <w:r w:rsidRPr="005A2883">
              <w:rPr>
                <w:rFonts w:cs="Arial"/>
                <w:sz w:val="18"/>
                <w:szCs w:val="18"/>
              </w:rPr>
              <w:t>Medium</w:t>
            </w:r>
          </w:p>
        </w:tc>
        <w:tc>
          <w:tcPr>
            <w:tcW w:w="1901" w:type="dxa"/>
            <w:tcBorders>
              <w:top w:val="single" w:sz="4" w:space="0" w:color="auto"/>
              <w:left w:val="single" w:sz="4" w:space="0" w:color="auto"/>
              <w:bottom w:val="single" w:sz="4" w:space="0" w:color="auto"/>
              <w:right w:val="single" w:sz="4" w:space="0" w:color="auto"/>
            </w:tcBorders>
            <w:shd w:val="clear" w:color="auto" w:fill="FFC000"/>
          </w:tcPr>
          <w:p w14:paraId="449860D2" w14:textId="77777777" w:rsidR="005A2883" w:rsidRPr="005A2883" w:rsidRDefault="005A5D49" w:rsidP="005A2883">
            <w:pPr>
              <w:jc w:val="center"/>
              <w:rPr>
                <w:rFonts w:cs="Arial"/>
                <w:sz w:val="18"/>
                <w:szCs w:val="18"/>
              </w:rPr>
            </w:pPr>
          </w:p>
          <w:p w14:paraId="449860D3" w14:textId="77777777" w:rsidR="005A2883" w:rsidRPr="005A2883" w:rsidRDefault="005A5D49" w:rsidP="005A2883">
            <w:pPr>
              <w:jc w:val="center"/>
              <w:rPr>
                <w:rFonts w:cs="Arial"/>
                <w:sz w:val="18"/>
                <w:szCs w:val="18"/>
              </w:rPr>
            </w:pPr>
            <w:r w:rsidRPr="005A2883">
              <w:rPr>
                <w:rFonts w:cs="Arial"/>
                <w:sz w:val="18"/>
                <w:szCs w:val="18"/>
              </w:rPr>
              <w:t>9</w:t>
            </w:r>
          </w:p>
          <w:p w14:paraId="449860D4" w14:textId="77777777" w:rsidR="005A2883" w:rsidRPr="005A2883" w:rsidRDefault="005A5D49" w:rsidP="005A2883">
            <w:pPr>
              <w:jc w:val="center"/>
              <w:rPr>
                <w:rFonts w:cs="Arial"/>
                <w:sz w:val="18"/>
                <w:szCs w:val="18"/>
              </w:rPr>
            </w:pPr>
            <w:r w:rsidRPr="005A2883">
              <w:rPr>
                <w:rFonts w:cs="Arial"/>
                <w:sz w:val="18"/>
                <w:szCs w:val="18"/>
              </w:rPr>
              <w:t>Medium</w:t>
            </w:r>
          </w:p>
        </w:tc>
        <w:tc>
          <w:tcPr>
            <w:tcW w:w="1728" w:type="dxa"/>
            <w:tcBorders>
              <w:top w:val="single" w:sz="4" w:space="0" w:color="auto"/>
              <w:left w:val="single" w:sz="4" w:space="0" w:color="auto"/>
              <w:bottom w:val="single" w:sz="4" w:space="0" w:color="auto"/>
              <w:right w:val="single" w:sz="4" w:space="0" w:color="auto"/>
            </w:tcBorders>
            <w:shd w:val="clear" w:color="auto" w:fill="FF0000"/>
          </w:tcPr>
          <w:p w14:paraId="449860D5" w14:textId="77777777" w:rsidR="005A2883" w:rsidRPr="005A2883" w:rsidRDefault="005A5D49" w:rsidP="005A2883">
            <w:pPr>
              <w:jc w:val="center"/>
              <w:rPr>
                <w:rFonts w:cs="Arial"/>
                <w:sz w:val="18"/>
                <w:szCs w:val="18"/>
              </w:rPr>
            </w:pPr>
          </w:p>
          <w:p w14:paraId="449860D6" w14:textId="77777777" w:rsidR="005A2883" w:rsidRPr="005A2883" w:rsidRDefault="005A5D49" w:rsidP="005A2883">
            <w:pPr>
              <w:jc w:val="center"/>
              <w:rPr>
                <w:rFonts w:cs="Arial"/>
                <w:sz w:val="18"/>
                <w:szCs w:val="18"/>
              </w:rPr>
            </w:pPr>
            <w:r w:rsidRPr="005A2883">
              <w:rPr>
                <w:rFonts w:cs="Arial"/>
                <w:sz w:val="18"/>
                <w:szCs w:val="18"/>
              </w:rPr>
              <w:t>12</w:t>
            </w:r>
          </w:p>
          <w:p w14:paraId="449860D7" w14:textId="77777777" w:rsidR="005A2883" w:rsidRPr="005A2883" w:rsidRDefault="005A5D49" w:rsidP="005A2883">
            <w:pPr>
              <w:jc w:val="center"/>
              <w:rPr>
                <w:rFonts w:cs="Arial"/>
                <w:sz w:val="18"/>
                <w:szCs w:val="18"/>
              </w:rPr>
            </w:pPr>
            <w:r w:rsidRPr="005A2883">
              <w:rPr>
                <w:rFonts w:cs="Arial"/>
                <w:sz w:val="18"/>
                <w:szCs w:val="18"/>
              </w:rPr>
              <w:t>High</w:t>
            </w:r>
          </w:p>
        </w:tc>
      </w:tr>
      <w:tr w:rsidR="0063033B" w14:paraId="449860E6" w14:textId="77777777" w:rsidTr="005A2883">
        <w:trPr>
          <w:trHeight w:val="907"/>
        </w:trPr>
        <w:tc>
          <w:tcPr>
            <w:tcW w:w="621" w:type="dxa"/>
            <w:tcBorders>
              <w:top w:val="nil"/>
              <w:left w:val="nil"/>
              <w:bottom w:val="nil"/>
              <w:right w:val="single" w:sz="4" w:space="0" w:color="auto"/>
            </w:tcBorders>
            <w:hideMark/>
          </w:tcPr>
          <w:p w14:paraId="449860D9" w14:textId="77777777" w:rsidR="005A2883" w:rsidRPr="005A2883" w:rsidRDefault="005A5D49" w:rsidP="005A2883">
            <w:pPr>
              <w:jc w:val="center"/>
              <w:rPr>
                <w:rFonts w:ascii="Calibri" w:hAnsi="Calibri"/>
                <w:sz w:val="18"/>
                <w:szCs w:val="18"/>
              </w:rPr>
            </w:pPr>
            <w:r w:rsidRPr="005A2883">
              <w:rPr>
                <w:rFonts w:ascii="Calibri" w:hAnsi="Calibri"/>
                <w:sz w:val="18"/>
                <w:szCs w:val="18"/>
              </w:rPr>
              <w:t>2</w:t>
            </w:r>
          </w:p>
        </w:tc>
        <w:tc>
          <w:tcPr>
            <w:tcW w:w="1748" w:type="dxa"/>
            <w:tcBorders>
              <w:top w:val="single" w:sz="4" w:space="0" w:color="auto"/>
              <w:left w:val="single" w:sz="4" w:space="0" w:color="auto"/>
              <w:bottom w:val="single" w:sz="4" w:space="0" w:color="auto"/>
              <w:right w:val="single" w:sz="4" w:space="0" w:color="auto"/>
            </w:tcBorders>
            <w:shd w:val="clear" w:color="auto" w:fill="92D050"/>
          </w:tcPr>
          <w:p w14:paraId="449860DA" w14:textId="77777777" w:rsidR="005A2883" w:rsidRPr="005A2883" w:rsidRDefault="005A5D49" w:rsidP="005A2883">
            <w:pPr>
              <w:jc w:val="center"/>
              <w:rPr>
                <w:rFonts w:cs="Arial"/>
                <w:sz w:val="18"/>
                <w:szCs w:val="18"/>
              </w:rPr>
            </w:pPr>
          </w:p>
          <w:p w14:paraId="449860DB" w14:textId="77777777" w:rsidR="005A2883" w:rsidRPr="005A2883" w:rsidRDefault="005A5D49" w:rsidP="005A2883">
            <w:pPr>
              <w:jc w:val="center"/>
              <w:rPr>
                <w:rFonts w:cs="Arial"/>
                <w:sz w:val="18"/>
                <w:szCs w:val="18"/>
              </w:rPr>
            </w:pPr>
            <w:r w:rsidRPr="005A2883">
              <w:rPr>
                <w:rFonts w:cs="Arial"/>
                <w:sz w:val="18"/>
                <w:szCs w:val="18"/>
              </w:rPr>
              <w:t>2</w:t>
            </w:r>
          </w:p>
          <w:p w14:paraId="449860DC" w14:textId="77777777" w:rsidR="005A2883" w:rsidRPr="005A2883" w:rsidRDefault="005A5D49" w:rsidP="005A2883">
            <w:pPr>
              <w:jc w:val="center"/>
              <w:rPr>
                <w:rFonts w:cs="Arial"/>
                <w:sz w:val="18"/>
                <w:szCs w:val="18"/>
              </w:rPr>
            </w:pPr>
            <w:r w:rsidRPr="005A2883">
              <w:rPr>
                <w:rFonts w:cs="Arial"/>
                <w:sz w:val="18"/>
                <w:szCs w:val="18"/>
              </w:rPr>
              <w:t xml:space="preserve">Low </w:t>
            </w:r>
          </w:p>
        </w:tc>
        <w:tc>
          <w:tcPr>
            <w:tcW w:w="1901" w:type="dxa"/>
            <w:tcBorders>
              <w:top w:val="single" w:sz="4" w:space="0" w:color="auto"/>
              <w:left w:val="single" w:sz="4" w:space="0" w:color="auto"/>
              <w:bottom w:val="single" w:sz="4" w:space="0" w:color="auto"/>
              <w:right w:val="single" w:sz="4" w:space="0" w:color="auto"/>
            </w:tcBorders>
            <w:shd w:val="clear" w:color="auto" w:fill="92D050"/>
          </w:tcPr>
          <w:p w14:paraId="449860DD" w14:textId="77777777" w:rsidR="005A2883" w:rsidRPr="005A2883" w:rsidRDefault="005A5D49" w:rsidP="005A2883">
            <w:pPr>
              <w:jc w:val="center"/>
              <w:rPr>
                <w:rFonts w:cs="Arial"/>
                <w:sz w:val="18"/>
                <w:szCs w:val="18"/>
              </w:rPr>
            </w:pPr>
          </w:p>
          <w:p w14:paraId="449860DE" w14:textId="77777777" w:rsidR="005A2883" w:rsidRPr="005A2883" w:rsidRDefault="005A5D49" w:rsidP="005A2883">
            <w:pPr>
              <w:jc w:val="center"/>
              <w:rPr>
                <w:rFonts w:cs="Arial"/>
                <w:sz w:val="18"/>
                <w:szCs w:val="18"/>
              </w:rPr>
            </w:pPr>
            <w:r w:rsidRPr="005A2883">
              <w:rPr>
                <w:rFonts w:cs="Arial"/>
                <w:sz w:val="18"/>
                <w:szCs w:val="18"/>
              </w:rPr>
              <w:t>4</w:t>
            </w:r>
          </w:p>
          <w:p w14:paraId="449860DF" w14:textId="77777777" w:rsidR="005A2883" w:rsidRPr="005A2883" w:rsidRDefault="005A5D49" w:rsidP="005A2883">
            <w:pPr>
              <w:jc w:val="center"/>
              <w:rPr>
                <w:rFonts w:cs="Arial"/>
                <w:sz w:val="18"/>
                <w:szCs w:val="18"/>
              </w:rPr>
            </w:pPr>
            <w:r w:rsidRPr="005A2883">
              <w:rPr>
                <w:rFonts w:cs="Arial"/>
                <w:sz w:val="18"/>
                <w:szCs w:val="18"/>
              </w:rPr>
              <w:t xml:space="preserve">Low </w:t>
            </w:r>
          </w:p>
        </w:tc>
        <w:tc>
          <w:tcPr>
            <w:tcW w:w="1901" w:type="dxa"/>
            <w:tcBorders>
              <w:top w:val="single" w:sz="4" w:space="0" w:color="auto"/>
              <w:left w:val="single" w:sz="4" w:space="0" w:color="auto"/>
              <w:bottom w:val="single" w:sz="4" w:space="0" w:color="auto"/>
              <w:right w:val="single" w:sz="4" w:space="0" w:color="auto"/>
            </w:tcBorders>
            <w:shd w:val="clear" w:color="auto" w:fill="FFC000"/>
          </w:tcPr>
          <w:p w14:paraId="449860E0" w14:textId="77777777" w:rsidR="005A2883" w:rsidRPr="005A2883" w:rsidRDefault="005A5D49" w:rsidP="005A2883">
            <w:pPr>
              <w:jc w:val="center"/>
              <w:rPr>
                <w:rFonts w:cs="Arial"/>
                <w:sz w:val="18"/>
                <w:szCs w:val="18"/>
              </w:rPr>
            </w:pPr>
          </w:p>
          <w:p w14:paraId="449860E1" w14:textId="77777777" w:rsidR="005A2883" w:rsidRPr="005A2883" w:rsidRDefault="005A5D49" w:rsidP="005A2883">
            <w:pPr>
              <w:jc w:val="center"/>
              <w:rPr>
                <w:rFonts w:cs="Arial"/>
                <w:sz w:val="18"/>
                <w:szCs w:val="18"/>
              </w:rPr>
            </w:pPr>
            <w:r w:rsidRPr="005A2883">
              <w:rPr>
                <w:rFonts w:cs="Arial"/>
                <w:sz w:val="18"/>
                <w:szCs w:val="18"/>
              </w:rPr>
              <w:t>6</w:t>
            </w:r>
          </w:p>
          <w:p w14:paraId="449860E2" w14:textId="77777777" w:rsidR="005A2883" w:rsidRPr="005A2883" w:rsidRDefault="005A5D49" w:rsidP="005A2883">
            <w:pPr>
              <w:jc w:val="center"/>
              <w:rPr>
                <w:rFonts w:cs="Arial"/>
                <w:sz w:val="18"/>
                <w:szCs w:val="18"/>
              </w:rPr>
            </w:pPr>
            <w:r w:rsidRPr="005A2883">
              <w:rPr>
                <w:rFonts w:cs="Arial"/>
                <w:sz w:val="18"/>
                <w:szCs w:val="18"/>
              </w:rPr>
              <w:t>Medium</w:t>
            </w:r>
          </w:p>
        </w:tc>
        <w:tc>
          <w:tcPr>
            <w:tcW w:w="1728" w:type="dxa"/>
            <w:tcBorders>
              <w:top w:val="single" w:sz="4" w:space="0" w:color="auto"/>
              <w:left w:val="single" w:sz="4" w:space="0" w:color="auto"/>
              <w:bottom w:val="single" w:sz="4" w:space="0" w:color="auto"/>
              <w:right w:val="single" w:sz="4" w:space="0" w:color="auto"/>
            </w:tcBorders>
            <w:shd w:val="clear" w:color="auto" w:fill="FFC000"/>
          </w:tcPr>
          <w:p w14:paraId="449860E3" w14:textId="77777777" w:rsidR="005A2883" w:rsidRPr="005A2883" w:rsidRDefault="005A5D49" w:rsidP="005A2883">
            <w:pPr>
              <w:jc w:val="center"/>
              <w:rPr>
                <w:rFonts w:cs="Arial"/>
                <w:sz w:val="18"/>
                <w:szCs w:val="18"/>
              </w:rPr>
            </w:pPr>
          </w:p>
          <w:p w14:paraId="449860E4" w14:textId="77777777" w:rsidR="005A2883" w:rsidRPr="005A2883" w:rsidRDefault="005A5D49" w:rsidP="005A2883">
            <w:pPr>
              <w:jc w:val="center"/>
              <w:rPr>
                <w:rFonts w:cs="Arial"/>
                <w:sz w:val="18"/>
                <w:szCs w:val="18"/>
              </w:rPr>
            </w:pPr>
            <w:r w:rsidRPr="005A2883">
              <w:rPr>
                <w:rFonts w:cs="Arial"/>
                <w:sz w:val="18"/>
                <w:szCs w:val="18"/>
              </w:rPr>
              <w:t>8</w:t>
            </w:r>
          </w:p>
          <w:p w14:paraId="449860E5" w14:textId="77777777" w:rsidR="005A2883" w:rsidRPr="005A2883" w:rsidRDefault="005A5D49" w:rsidP="005A2883">
            <w:pPr>
              <w:jc w:val="center"/>
              <w:rPr>
                <w:rFonts w:cs="Arial"/>
                <w:sz w:val="18"/>
                <w:szCs w:val="18"/>
              </w:rPr>
            </w:pPr>
            <w:r w:rsidRPr="005A2883">
              <w:rPr>
                <w:rFonts w:cs="Arial"/>
                <w:sz w:val="18"/>
                <w:szCs w:val="18"/>
              </w:rPr>
              <w:t>Medium</w:t>
            </w:r>
          </w:p>
        </w:tc>
      </w:tr>
      <w:tr w:rsidR="0063033B" w14:paraId="449860F5" w14:textId="77777777" w:rsidTr="005A2883">
        <w:trPr>
          <w:trHeight w:val="434"/>
        </w:trPr>
        <w:tc>
          <w:tcPr>
            <w:tcW w:w="621" w:type="dxa"/>
            <w:tcBorders>
              <w:top w:val="nil"/>
              <w:left w:val="nil"/>
              <w:bottom w:val="nil"/>
              <w:right w:val="single" w:sz="4" w:space="0" w:color="auto"/>
            </w:tcBorders>
            <w:hideMark/>
          </w:tcPr>
          <w:p w14:paraId="449860E7" w14:textId="77777777" w:rsidR="005A2883" w:rsidRPr="005A2883" w:rsidRDefault="005A5D49" w:rsidP="005A2883">
            <w:pPr>
              <w:jc w:val="center"/>
              <w:rPr>
                <w:rFonts w:ascii="Calibri" w:hAnsi="Calibri"/>
                <w:sz w:val="18"/>
                <w:szCs w:val="18"/>
              </w:rPr>
            </w:pPr>
            <w:r w:rsidRPr="005A2883">
              <w:rPr>
                <w:rFonts w:ascii="Calibri" w:hAnsi="Calibri"/>
                <w:sz w:val="18"/>
                <w:szCs w:val="18"/>
              </w:rPr>
              <w:t>1</w:t>
            </w:r>
          </w:p>
        </w:tc>
        <w:tc>
          <w:tcPr>
            <w:tcW w:w="1748" w:type="dxa"/>
            <w:tcBorders>
              <w:top w:val="single" w:sz="4" w:space="0" w:color="auto"/>
              <w:left w:val="single" w:sz="4" w:space="0" w:color="auto"/>
              <w:bottom w:val="single" w:sz="4" w:space="0" w:color="auto"/>
              <w:right w:val="single" w:sz="4" w:space="0" w:color="auto"/>
            </w:tcBorders>
            <w:shd w:val="clear" w:color="auto" w:fill="92D050"/>
          </w:tcPr>
          <w:p w14:paraId="449860E8" w14:textId="77777777" w:rsidR="005A2883" w:rsidRPr="005A2883" w:rsidRDefault="005A5D49" w:rsidP="005A2883">
            <w:pPr>
              <w:jc w:val="center"/>
              <w:rPr>
                <w:rFonts w:cs="Arial"/>
                <w:sz w:val="18"/>
                <w:szCs w:val="18"/>
              </w:rPr>
            </w:pPr>
          </w:p>
          <w:p w14:paraId="449860E9" w14:textId="77777777" w:rsidR="005A2883" w:rsidRPr="005A2883" w:rsidRDefault="005A5D49" w:rsidP="005A2883">
            <w:pPr>
              <w:jc w:val="center"/>
              <w:rPr>
                <w:rFonts w:cs="Arial"/>
                <w:sz w:val="18"/>
                <w:szCs w:val="18"/>
              </w:rPr>
            </w:pPr>
            <w:r w:rsidRPr="005A2883">
              <w:rPr>
                <w:rFonts w:cs="Arial"/>
                <w:sz w:val="18"/>
                <w:szCs w:val="18"/>
              </w:rPr>
              <w:t>1</w:t>
            </w:r>
          </w:p>
          <w:p w14:paraId="449860EA" w14:textId="77777777" w:rsidR="005A2883" w:rsidRPr="005A2883" w:rsidRDefault="005A5D49" w:rsidP="005A2883">
            <w:pPr>
              <w:jc w:val="center"/>
              <w:rPr>
                <w:rFonts w:cs="Arial"/>
                <w:sz w:val="18"/>
                <w:szCs w:val="18"/>
              </w:rPr>
            </w:pPr>
            <w:r w:rsidRPr="005A2883">
              <w:rPr>
                <w:rFonts w:cs="Arial"/>
                <w:sz w:val="18"/>
                <w:szCs w:val="18"/>
              </w:rPr>
              <w:t>Low</w:t>
            </w:r>
          </w:p>
          <w:p w14:paraId="449860EB" w14:textId="77777777" w:rsidR="005A2883" w:rsidRPr="005A2883" w:rsidRDefault="005A5D49" w:rsidP="005A2883">
            <w:pPr>
              <w:jc w:val="center"/>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shd w:val="clear" w:color="auto" w:fill="92D050"/>
          </w:tcPr>
          <w:p w14:paraId="449860EC" w14:textId="77777777" w:rsidR="005A2883" w:rsidRPr="005A2883" w:rsidRDefault="005A5D49" w:rsidP="005A2883">
            <w:pPr>
              <w:jc w:val="center"/>
              <w:rPr>
                <w:rFonts w:cs="Arial"/>
                <w:sz w:val="18"/>
                <w:szCs w:val="18"/>
              </w:rPr>
            </w:pPr>
          </w:p>
          <w:p w14:paraId="449860ED" w14:textId="77777777" w:rsidR="005A2883" w:rsidRPr="005A2883" w:rsidRDefault="005A5D49" w:rsidP="005A2883">
            <w:pPr>
              <w:jc w:val="center"/>
              <w:rPr>
                <w:rFonts w:cs="Arial"/>
                <w:sz w:val="18"/>
                <w:szCs w:val="18"/>
              </w:rPr>
            </w:pPr>
            <w:r w:rsidRPr="005A2883">
              <w:rPr>
                <w:rFonts w:cs="Arial"/>
                <w:sz w:val="18"/>
                <w:szCs w:val="18"/>
              </w:rPr>
              <w:t>2</w:t>
            </w:r>
          </w:p>
          <w:p w14:paraId="449860EE" w14:textId="77777777" w:rsidR="005A2883" w:rsidRPr="005A2883" w:rsidRDefault="005A5D49" w:rsidP="005A2883">
            <w:pPr>
              <w:jc w:val="center"/>
              <w:rPr>
                <w:rFonts w:cs="Arial"/>
                <w:sz w:val="18"/>
                <w:szCs w:val="18"/>
              </w:rPr>
            </w:pPr>
            <w:r w:rsidRPr="005A2883">
              <w:rPr>
                <w:rFonts w:cs="Arial"/>
                <w:sz w:val="18"/>
                <w:szCs w:val="18"/>
              </w:rPr>
              <w:t>Low</w:t>
            </w:r>
          </w:p>
        </w:tc>
        <w:tc>
          <w:tcPr>
            <w:tcW w:w="1901" w:type="dxa"/>
            <w:tcBorders>
              <w:top w:val="single" w:sz="4" w:space="0" w:color="auto"/>
              <w:left w:val="single" w:sz="4" w:space="0" w:color="auto"/>
              <w:bottom w:val="single" w:sz="4" w:space="0" w:color="auto"/>
              <w:right w:val="single" w:sz="4" w:space="0" w:color="auto"/>
            </w:tcBorders>
            <w:shd w:val="clear" w:color="auto" w:fill="92D050"/>
          </w:tcPr>
          <w:p w14:paraId="449860EF" w14:textId="77777777" w:rsidR="005A2883" w:rsidRPr="005A2883" w:rsidRDefault="005A5D49" w:rsidP="005A2883">
            <w:pPr>
              <w:jc w:val="center"/>
              <w:rPr>
                <w:rFonts w:cs="Arial"/>
                <w:sz w:val="18"/>
                <w:szCs w:val="18"/>
              </w:rPr>
            </w:pPr>
          </w:p>
          <w:p w14:paraId="449860F0" w14:textId="77777777" w:rsidR="005A2883" w:rsidRPr="005A2883" w:rsidRDefault="005A5D49" w:rsidP="005A2883">
            <w:pPr>
              <w:jc w:val="center"/>
              <w:rPr>
                <w:rFonts w:cs="Arial"/>
                <w:sz w:val="18"/>
                <w:szCs w:val="18"/>
              </w:rPr>
            </w:pPr>
            <w:r w:rsidRPr="005A2883">
              <w:rPr>
                <w:rFonts w:cs="Arial"/>
                <w:sz w:val="18"/>
                <w:szCs w:val="18"/>
              </w:rPr>
              <w:t>3</w:t>
            </w:r>
          </w:p>
          <w:p w14:paraId="449860F1" w14:textId="77777777" w:rsidR="005A2883" w:rsidRPr="005A2883" w:rsidRDefault="005A5D49" w:rsidP="005A2883">
            <w:pPr>
              <w:jc w:val="center"/>
              <w:rPr>
                <w:rFonts w:cs="Arial"/>
                <w:sz w:val="18"/>
                <w:szCs w:val="18"/>
              </w:rPr>
            </w:pPr>
            <w:r w:rsidRPr="005A2883">
              <w:rPr>
                <w:rFonts w:cs="Arial"/>
                <w:sz w:val="18"/>
                <w:szCs w:val="18"/>
              </w:rPr>
              <w:t>Low</w:t>
            </w:r>
          </w:p>
        </w:tc>
        <w:tc>
          <w:tcPr>
            <w:tcW w:w="1728" w:type="dxa"/>
            <w:tcBorders>
              <w:top w:val="single" w:sz="4" w:space="0" w:color="auto"/>
              <w:left w:val="single" w:sz="4" w:space="0" w:color="auto"/>
              <w:bottom w:val="single" w:sz="4" w:space="0" w:color="auto"/>
              <w:right w:val="single" w:sz="4" w:space="0" w:color="auto"/>
            </w:tcBorders>
            <w:shd w:val="clear" w:color="auto" w:fill="92D050"/>
          </w:tcPr>
          <w:p w14:paraId="449860F2" w14:textId="77777777" w:rsidR="005A2883" w:rsidRPr="005A2883" w:rsidRDefault="005A5D49" w:rsidP="005A2883">
            <w:pPr>
              <w:jc w:val="center"/>
              <w:rPr>
                <w:rFonts w:cs="Arial"/>
                <w:sz w:val="18"/>
                <w:szCs w:val="18"/>
              </w:rPr>
            </w:pPr>
          </w:p>
          <w:p w14:paraId="449860F3" w14:textId="77777777" w:rsidR="005A2883" w:rsidRPr="005A2883" w:rsidRDefault="005A5D49" w:rsidP="005A2883">
            <w:pPr>
              <w:jc w:val="center"/>
              <w:rPr>
                <w:rFonts w:cs="Arial"/>
                <w:sz w:val="18"/>
                <w:szCs w:val="18"/>
              </w:rPr>
            </w:pPr>
            <w:r w:rsidRPr="005A2883">
              <w:rPr>
                <w:rFonts w:cs="Arial"/>
                <w:sz w:val="18"/>
                <w:szCs w:val="18"/>
              </w:rPr>
              <w:t>4</w:t>
            </w:r>
          </w:p>
          <w:p w14:paraId="449860F4" w14:textId="77777777" w:rsidR="005A2883" w:rsidRPr="005A2883" w:rsidRDefault="005A5D49" w:rsidP="005A2883">
            <w:pPr>
              <w:jc w:val="center"/>
              <w:rPr>
                <w:rFonts w:cs="Arial"/>
                <w:sz w:val="18"/>
                <w:szCs w:val="18"/>
              </w:rPr>
            </w:pPr>
            <w:r w:rsidRPr="005A2883">
              <w:rPr>
                <w:rFonts w:cs="Arial"/>
                <w:sz w:val="18"/>
                <w:szCs w:val="18"/>
              </w:rPr>
              <w:t>Low</w:t>
            </w:r>
          </w:p>
        </w:tc>
      </w:tr>
      <w:tr w:rsidR="0063033B" w14:paraId="449860FB" w14:textId="77777777" w:rsidTr="005A2883">
        <w:trPr>
          <w:trHeight w:val="185"/>
        </w:trPr>
        <w:tc>
          <w:tcPr>
            <w:tcW w:w="621" w:type="dxa"/>
            <w:tcBorders>
              <w:top w:val="nil"/>
              <w:left w:val="nil"/>
              <w:bottom w:val="nil"/>
              <w:right w:val="nil"/>
            </w:tcBorders>
          </w:tcPr>
          <w:p w14:paraId="449860F6" w14:textId="77777777" w:rsidR="005A2883" w:rsidRPr="005A2883" w:rsidRDefault="005A5D49" w:rsidP="005A2883">
            <w:pPr>
              <w:jc w:val="center"/>
              <w:rPr>
                <w:rFonts w:ascii="Calibri" w:hAnsi="Calibri"/>
                <w:sz w:val="18"/>
                <w:szCs w:val="18"/>
              </w:rPr>
            </w:pPr>
          </w:p>
        </w:tc>
        <w:tc>
          <w:tcPr>
            <w:tcW w:w="1748" w:type="dxa"/>
            <w:tcBorders>
              <w:top w:val="single" w:sz="4" w:space="0" w:color="auto"/>
              <w:left w:val="nil"/>
              <w:bottom w:val="nil"/>
              <w:right w:val="nil"/>
            </w:tcBorders>
            <w:hideMark/>
          </w:tcPr>
          <w:p w14:paraId="449860F7" w14:textId="77777777" w:rsidR="005A2883" w:rsidRPr="005A2883" w:rsidRDefault="005A5D49" w:rsidP="005A2883">
            <w:pPr>
              <w:jc w:val="center"/>
              <w:rPr>
                <w:rFonts w:ascii="Calibri" w:hAnsi="Calibri"/>
                <w:sz w:val="18"/>
                <w:szCs w:val="18"/>
              </w:rPr>
            </w:pPr>
            <w:r w:rsidRPr="005A2883">
              <w:rPr>
                <w:rFonts w:ascii="Calibri" w:hAnsi="Calibri"/>
                <w:sz w:val="18"/>
                <w:szCs w:val="18"/>
              </w:rPr>
              <w:t>1</w:t>
            </w:r>
          </w:p>
        </w:tc>
        <w:tc>
          <w:tcPr>
            <w:tcW w:w="1901" w:type="dxa"/>
            <w:tcBorders>
              <w:top w:val="single" w:sz="4" w:space="0" w:color="auto"/>
              <w:left w:val="nil"/>
              <w:bottom w:val="nil"/>
              <w:right w:val="nil"/>
            </w:tcBorders>
            <w:hideMark/>
          </w:tcPr>
          <w:p w14:paraId="449860F8" w14:textId="77777777" w:rsidR="005A2883" w:rsidRPr="005A2883" w:rsidRDefault="005A5D49" w:rsidP="005A2883">
            <w:pPr>
              <w:jc w:val="center"/>
              <w:rPr>
                <w:rFonts w:ascii="Calibri" w:hAnsi="Calibri"/>
                <w:sz w:val="18"/>
                <w:szCs w:val="18"/>
              </w:rPr>
            </w:pPr>
            <w:r w:rsidRPr="005A2883">
              <w:rPr>
                <w:rFonts w:ascii="Calibri" w:hAnsi="Calibri"/>
                <w:sz w:val="18"/>
                <w:szCs w:val="18"/>
              </w:rPr>
              <w:t>2</w:t>
            </w:r>
          </w:p>
        </w:tc>
        <w:tc>
          <w:tcPr>
            <w:tcW w:w="1901" w:type="dxa"/>
            <w:tcBorders>
              <w:top w:val="single" w:sz="4" w:space="0" w:color="auto"/>
              <w:left w:val="nil"/>
              <w:bottom w:val="nil"/>
              <w:right w:val="nil"/>
            </w:tcBorders>
            <w:hideMark/>
          </w:tcPr>
          <w:p w14:paraId="449860F9" w14:textId="77777777" w:rsidR="005A2883" w:rsidRPr="005A2883" w:rsidRDefault="005A5D49" w:rsidP="005A2883">
            <w:pPr>
              <w:jc w:val="center"/>
              <w:rPr>
                <w:rFonts w:ascii="Calibri" w:hAnsi="Calibri"/>
                <w:sz w:val="18"/>
                <w:szCs w:val="18"/>
              </w:rPr>
            </w:pPr>
            <w:r w:rsidRPr="005A2883">
              <w:rPr>
                <w:rFonts w:ascii="Calibri" w:hAnsi="Calibri"/>
                <w:sz w:val="18"/>
                <w:szCs w:val="18"/>
              </w:rPr>
              <w:t>3</w:t>
            </w:r>
          </w:p>
        </w:tc>
        <w:tc>
          <w:tcPr>
            <w:tcW w:w="1728" w:type="dxa"/>
            <w:tcBorders>
              <w:top w:val="single" w:sz="4" w:space="0" w:color="auto"/>
              <w:left w:val="nil"/>
              <w:bottom w:val="nil"/>
              <w:right w:val="nil"/>
            </w:tcBorders>
            <w:hideMark/>
          </w:tcPr>
          <w:p w14:paraId="449860FA" w14:textId="77777777" w:rsidR="005A2883" w:rsidRPr="005A2883" w:rsidRDefault="005A5D49" w:rsidP="005A2883">
            <w:pPr>
              <w:jc w:val="center"/>
              <w:rPr>
                <w:rFonts w:ascii="Calibri" w:hAnsi="Calibri"/>
                <w:sz w:val="18"/>
                <w:szCs w:val="18"/>
              </w:rPr>
            </w:pPr>
            <w:r w:rsidRPr="005A2883">
              <w:rPr>
                <w:rFonts w:ascii="Calibri" w:hAnsi="Calibri"/>
                <w:sz w:val="18"/>
                <w:szCs w:val="18"/>
              </w:rPr>
              <w:t>4</w:t>
            </w:r>
          </w:p>
        </w:tc>
      </w:tr>
      <w:tr w:rsidR="0063033B" w14:paraId="44986101" w14:textId="77777777" w:rsidTr="005A2883">
        <w:trPr>
          <w:trHeight w:val="454"/>
        </w:trPr>
        <w:tc>
          <w:tcPr>
            <w:tcW w:w="621" w:type="dxa"/>
            <w:tcBorders>
              <w:top w:val="nil"/>
              <w:left w:val="nil"/>
              <w:bottom w:val="nil"/>
              <w:right w:val="nil"/>
            </w:tcBorders>
          </w:tcPr>
          <w:p w14:paraId="449860FC" w14:textId="77777777" w:rsidR="005A2883" w:rsidRPr="005A2883" w:rsidRDefault="005A5D49" w:rsidP="005A2883">
            <w:pPr>
              <w:jc w:val="center"/>
              <w:rPr>
                <w:rFonts w:ascii="Calibri" w:hAnsi="Calibri"/>
                <w:sz w:val="32"/>
                <w:szCs w:val="32"/>
              </w:rPr>
            </w:pPr>
          </w:p>
        </w:tc>
        <w:tc>
          <w:tcPr>
            <w:tcW w:w="1748" w:type="dxa"/>
            <w:tcBorders>
              <w:top w:val="nil"/>
              <w:left w:val="nil"/>
              <w:bottom w:val="nil"/>
              <w:right w:val="nil"/>
            </w:tcBorders>
            <w:hideMark/>
          </w:tcPr>
          <w:p w14:paraId="449860FD" w14:textId="77777777" w:rsidR="005A2883" w:rsidRPr="005A2883" w:rsidRDefault="005A5D49" w:rsidP="005A2883">
            <w:pPr>
              <w:jc w:val="center"/>
              <w:rPr>
                <w:rFonts w:ascii="Calibri" w:hAnsi="Calibri"/>
                <w:sz w:val="16"/>
              </w:rPr>
            </w:pPr>
            <w:r w:rsidRPr="005A2883">
              <w:rPr>
                <w:rFonts w:ascii="Calibri" w:hAnsi="Calibri"/>
                <w:b/>
                <w:sz w:val="16"/>
              </w:rPr>
              <w:t>Rarely –</w:t>
            </w:r>
            <w:r w:rsidRPr="005A2883">
              <w:rPr>
                <w:rFonts w:ascii="Calibri" w:hAnsi="Calibri"/>
                <w:sz w:val="16"/>
              </w:rPr>
              <w:t xml:space="preserve"> there is a slight possibility that the event will occur </w:t>
            </w:r>
          </w:p>
        </w:tc>
        <w:tc>
          <w:tcPr>
            <w:tcW w:w="1901" w:type="dxa"/>
            <w:tcBorders>
              <w:top w:val="nil"/>
              <w:left w:val="nil"/>
              <w:bottom w:val="nil"/>
              <w:right w:val="nil"/>
            </w:tcBorders>
            <w:hideMark/>
          </w:tcPr>
          <w:p w14:paraId="449860FE" w14:textId="77777777" w:rsidR="005A2883" w:rsidRPr="005A2883" w:rsidRDefault="005A5D49" w:rsidP="005A2883">
            <w:pPr>
              <w:rPr>
                <w:rFonts w:ascii="Calibri" w:hAnsi="Calibri"/>
                <w:sz w:val="16"/>
              </w:rPr>
            </w:pPr>
            <w:r w:rsidRPr="005A2883">
              <w:rPr>
                <w:rFonts w:ascii="Calibri" w:hAnsi="Calibri"/>
                <w:b/>
                <w:sz w:val="16"/>
              </w:rPr>
              <w:t>Unlikely-</w:t>
            </w:r>
            <w:r w:rsidRPr="005A2883">
              <w:rPr>
                <w:rFonts w:ascii="Calibri" w:hAnsi="Calibri"/>
                <w:sz w:val="16"/>
              </w:rPr>
              <w:t xml:space="preserve"> there is a possibility that the event will occur or there is a history of occasional occurrence within the authority </w:t>
            </w:r>
          </w:p>
        </w:tc>
        <w:tc>
          <w:tcPr>
            <w:tcW w:w="1901" w:type="dxa"/>
            <w:tcBorders>
              <w:top w:val="nil"/>
              <w:left w:val="nil"/>
              <w:bottom w:val="nil"/>
              <w:right w:val="nil"/>
            </w:tcBorders>
            <w:hideMark/>
          </w:tcPr>
          <w:p w14:paraId="449860FF" w14:textId="77777777" w:rsidR="005A2883" w:rsidRPr="005A2883" w:rsidRDefault="005A5D49" w:rsidP="005A2883">
            <w:pPr>
              <w:jc w:val="center"/>
              <w:rPr>
                <w:rFonts w:ascii="Calibri" w:hAnsi="Calibri"/>
                <w:sz w:val="16"/>
              </w:rPr>
            </w:pPr>
            <w:r w:rsidRPr="005A2883">
              <w:rPr>
                <w:rFonts w:ascii="Calibri" w:hAnsi="Calibri"/>
                <w:b/>
                <w:sz w:val="16"/>
              </w:rPr>
              <w:t>Likely</w:t>
            </w:r>
            <w:r w:rsidRPr="005A2883">
              <w:rPr>
                <w:rFonts w:ascii="Calibri" w:hAnsi="Calibri"/>
                <w:sz w:val="16"/>
              </w:rPr>
              <w:t xml:space="preserve"> – There is a strong possibility that the event will occur or there is history or regular occurrence within the Authority </w:t>
            </w:r>
          </w:p>
        </w:tc>
        <w:tc>
          <w:tcPr>
            <w:tcW w:w="1728" w:type="dxa"/>
            <w:tcBorders>
              <w:top w:val="nil"/>
              <w:left w:val="nil"/>
              <w:bottom w:val="nil"/>
              <w:right w:val="nil"/>
            </w:tcBorders>
            <w:hideMark/>
          </w:tcPr>
          <w:p w14:paraId="44986100" w14:textId="77777777" w:rsidR="005A2883" w:rsidRPr="005A2883" w:rsidRDefault="005A5D49" w:rsidP="005A2883">
            <w:pPr>
              <w:jc w:val="center"/>
              <w:rPr>
                <w:rFonts w:ascii="Calibri" w:hAnsi="Calibri"/>
                <w:sz w:val="16"/>
              </w:rPr>
            </w:pPr>
            <w:r w:rsidRPr="005A2883">
              <w:rPr>
                <w:rFonts w:ascii="Calibri" w:hAnsi="Calibri"/>
                <w:b/>
                <w:sz w:val="16"/>
              </w:rPr>
              <w:t>Highly l</w:t>
            </w:r>
            <w:r w:rsidRPr="005A2883">
              <w:rPr>
                <w:rFonts w:ascii="Calibri" w:hAnsi="Calibri"/>
                <w:b/>
                <w:sz w:val="16"/>
              </w:rPr>
              <w:t>ikely</w:t>
            </w:r>
            <w:r w:rsidRPr="005A2883">
              <w:rPr>
                <w:rFonts w:ascii="Calibri" w:hAnsi="Calibri"/>
                <w:sz w:val="16"/>
              </w:rPr>
              <w:t xml:space="preserve"> -there is little doubt that the event will occur</w:t>
            </w:r>
          </w:p>
        </w:tc>
      </w:tr>
    </w:tbl>
    <w:p w14:paraId="44986102" w14:textId="77777777" w:rsidR="005A2883" w:rsidRPr="005A2883" w:rsidRDefault="005A5D49" w:rsidP="005A2883">
      <w:pPr>
        <w:tabs>
          <w:tab w:val="left" w:pos="567"/>
        </w:tabs>
        <w:rPr>
          <w:rFonts w:cs="Arial"/>
          <w:bCs/>
        </w:rPr>
      </w:pPr>
    </w:p>
    <w:p w14:paraId="44986103"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All risks have been assessed by LT for 2021 on the likelihood of the risk occurring, against the impact for the organisation if it did occur. Taking into consideration any controls or actions </w:t>
      </w:r>
      <w:r w:rsidRPr="005A2883">
        <w:rPr>
          <w:rFonts w:eastAsia="Calibri" w:cs="Arial"/>
          <w:bCs/>
          <w:szCs w:val="22"/>
          <w:lang w:eastAsia="en-US"/>
        </w:rPr>
        <w:t>planned over 2021. The resulting score out of 16 gives the inherent risk and is used to aid in prioritising the risk and mitigating actions.</w:t>
      </w:r>
    </w:p>
    <w:p w14:paraId="44986104" w14:textId="77777777" w:rsidR="005A2883" w:rsidRPr="005A2883" w:rsidRDefault="005A5D49" w:rsidP="005A2883">
      <w:pPr>
        <w:tabs>
          <w:tab w:val="left" w:pos="567"/>
        </w:tabs>
        <w:rPr>
          <w:rFonts w:cs="Arial"/>
          <w:bCs/>
        </w:rPr>
      </w:pPr>
    </w:p>
    <w:p w14:paraId="44986105" w14:textId="77777777" w:rsidR="005A2883" w:rsidRPr="005A2883" w:rsidRDefault="005A5D49" w:rsidP="005A2883">
      <w:pPr>
        <w:numPr>
          <w:ilvl w:val="0"/>
          <w:numId w:val="20"/>
        </w:numPr>
        <w:spacing w:after="160" w:line="256" w:lineRule="auto"/>
        <w:contextualSpacing/>
        <w:rPr>
          <w:rFonts w:eastAsia="Calibri" w:cs="Arial"/>
          <w:bCs/>
          <w:szCs w:val="22"/>
          <w:lang w:eastAsia="en-US"/>
        </w:rPr>
      </w:pPr>
      <w:r w:rsidRPr="005A2883">
        <w:rPr>
          <w:rFonts w:eastAsia="Calibri" w:cs="Arial"/>
          <w:bCs/>
          <w:szCs w:val="22"/>
          <w:lang w:eastAsia="en-US"/>
        </w:rPr>
        <w:t>Each risk has three risk scores, described below:</w:t>
      </w:r>
    </w:p>
    <w:p w14:paraId="44986106" w14:textId="77777777" w:rsidR="005A2883" w:rsidRPr="005A2883" w:rsidRDefault="005A5D49" w:rsidP="005A2883">
      <w:pPr>
        <w:numPr>
          <w:ilvl w:val="0"/>
          <w:numId w:val="23"/>
        </w:numPr>
        <w:rPr>
          <w:rFonts w:cs="Arial"/>
          <w:bCs/>
          <w:szCs w:val="22"/>
        </w:rPr>
      </w:pPr>
      <w:r w:rsidRPr="005A2883">
        <w:rPr>
          <w:rFonts w:cs="Arial"/>
          <w:b/>
          <w:szCs w:val="22"/>
        </w:rPr>
        <w:t>Inherent</w:t>
      </w:r>
      <w:r w:rsidRPr="005A2883">
        <w:rPr>
          <w:rFonts w:cs="Arial"/>
          <w:bCs/>
          <w:szCs w:val="22"/>
        </w:rPr>
        <w:t xml:space="preserve"> – based on the likelihood and impact of the risk if we </w:t>
      </w:r>
      <w:r w:rsidRPr="005A2883">
        <w:rPr>
          <w:rFonts w:cs="Arial"/>
          <w:bCs/>
          <w:szCs w:val="22"/>
        </w:rPr>
        <w:t>‘do nothing’,</w:t>
      </w:r>
    </w:p>
    <w:p w14:paraId="44986107" w14:textId="77777777" w:rsidR="005A2883" w:rsidRPr="005A2883" w:rsidRDefault="005A5D49" w:rsidP="005A2883">
      <w:pPr>
        <w:numPr>
          <w:ilvl w:val="0"/>
          <w:numId w:val="23"/>
        </w:numPr>
        <w:rPr>
          <w:rFonts w:cs="Arial"/>
          <w:bCs/>
          <w:szCs w:val="22"/>
        </w:rPr>
      </w:pPr>
      <w:r w:rsidRPr="005A2883">
        <w:rPr>
          <w:rFonts w:cs="Arial"/>
          <w:b/>
          <w:szCs w:val="22"/>
        </w:rPr>
        <w:t>Residual</w:t>
      </w:r>
      <w:r w:rsidRPr="005A2883">
        <w:rPr>
          <w:rFonts w:cs="Arial"/>
          <w:bCs/>
          <w:szCs w:val="22"/>
        </w:rPr>
        <w:t>- this risk score considers any existing control measures in place,</w:t>
      </w:r>
    </w:p>
    <w:p w14:paraId="44986108" w14:textId="77777777" w:rsidR="005A2883" w:rsidRDefault="005A5D49" w:rsidP="005A2883">
      <w:pPr>
        <w:numPr>
          <w:ilvl w:val="0"/>
          <w:numId w:val="23"/>
        </w:numPr>
        <w:rPr>
          <w:rFonts w:cs="Arial"/>
          <w:bCs/>
          <w:szCs w:val="22"/>
        </w:rPr>
      </w:pPr>
      <w:r w:rsidRPr="005A2883">
        <w:rPr>
          <w:rFonts w:cs="Arial"/>
          <w:b/>
          <w:szCs w:val="22"/>
        </w:rPr>
        <w:t>Target</w:t>
      </w:r>
      <w:r w:rsidRPr="005A2883">
        <w:rPr>
          <w:rFonts w:cs="Arial"/>
          <w:bCs/>
          <w:szCs w:val="22"/>
        </w:rPr>
        <w:t>- the level of risk the risk owner is willing to accept considering the controls and actions in place.</w:t>
      </w:r>
    </w:p>
    <w:p w14:paraId="44986109" w14:textId="77777777" w:rsidR="00DF6571" w:rsidRPr="005A2883" w:rsidRDefault="005A5D49" w:rsidP="00DF6571">
      <w:pPr>
        <w:ind w:left="1440"/>
        <w:rPr>
          <w:rFonts w:cs="Arial"/>
          <w:bCs/>
          <w:szCs w:val="22"/>
        </w:rPr>
      </w:pPr>
    </w:p>
    <w:p w14:paraId="4498610A" w14:textId="77777777" w:rsidR="005A2883" w:rsidRPr="005A2883" w:rsidRDefault="005A5D49" w:rsidP="005A2883">
      <w:pPr>
        <w:rPr>
          <w:rFonts w:cs="Arial"/>
          <w:bCs/>
          <w:szCs w:val="22"/>
        </w:rPr>
      </w:pPr>
    </w:p>
    <w:p w14:paraId="4498610B" w14:textId="77777777" w:rsidR="005A2883" w:rsidRPr="005A2883" w:rsidRDefault="005A5D49" w:rsidP="005A2883">
      <w:pPr>
        <w:numPr>
          <w:ilvl w:val="0"/>
          <w:numId w:val="20"/>
        </w:numPr>
        <w:spacing w:after="160" w:line="256" w:lineRule="auto"/>
        <w:contextualSpacing/>
        <w:rPr>
          <w:rFonts w:eastAsia="Calibri" w:cs="Arial"/>
          <w:bCs/>
          <w:szCs w:val="22"/>
          <w:lang w:eastAsia="en-US"/>
        </w:rPr>
      </w:pPr>
      <w:r w:rsidRPr="005A2883">
        <w:rPr>
          <w:rFonts w:eastAsia="Calibri" w:cs="Arial"/>
          <w:bCs/>
          <w:szCs w:val="22"/>
          <w:lang w:eastAsia="en-US"/>
        </w:rPr>
        <w:lastRenderedPageBreak/>
        <w:t xml:space="preserve">When scoring the risks, the following factors have </w:t>
      </w:r>
      <w:r w:rsidRPr="005A2883">
        <w:rPr>
          <w:rFonts w:eastAsia="Calibri" w:cs="Arial"/>
          <w:bCs/>
          <w:szCs w:val="22"/>
          <w:lang w:eastAsia="en-US"/>
        </w:rPr>
        <w:t>been considered:</w:t>
      </w:r>
    </w:p>
    <w:p w14:paraId="4498610C" w14:textId="77777777" w:rsidR="005A2883" w:rsidRPr="005A2883" w:rsidRDefault="005A5D49" w:rsidP="005A2883">
      <w:pPr>
        <w:numPr>
          <w:ilvl w:val="0"/>
          <w:numId w:val="24"/>
        </w:numPr>
        <w:rPr>
          <w:rFonts w:cs="Arial"/>
          <w:bCs/>
          <w:szCs w:val="22"/>
        </w:rPr>
      </w:pPr>
      <w:r w:rsidRPr="005A2883">
        <w:rPr>
          <w:rFonts w:cs="Arial"/>
          <w:bCs/>
          <w:szCs w:val="22"/>
        </w:rPr>
        <w:t>Environmental factors,</w:t>
      </w:r>
    </w:p>
    <w:p w14:paraId="4498610D" w14:textId="77777777" w:rsidR="005A2883" w:rsidRPr="005A2883" w:rsidRDefault="005A5D49" w:rsidP="005A2883">
      <w:pPr>
        <w:numPr>
          <w:ilvl w:val="0"/>
          <w:numId w:val="24"/>
        </w:numPr>
        <w:rPr>
          <w:rFonts w:cs="Arial"/>
          <w:bCs/>
          <w:szCs w:val="22"/>
        </w:rPr>
      </w:pPr>
      <w:r w:rsidRPr="005A2883">
        <w:rPr>
          <w:rFonts w:cs="Arial"/>
          <w:bCs/>
          <w:szCs w:val="22"/>
        </w:rPr>
        <w:t>Political factors,</w:t>
      </w:r>
    </w:p>
    <w:p w14:paraId="4498610E" w14:textId="77777777" w:rsidR="005A2883" w:rsidRPr="005A2883" w:rsidRDefault="005A5D49" w:rsidP="005A2883">
      <w:pPr>
        <w:numPr>
          <w:ilvl w:val="0"/>
          <w:numId w:val="24"/>
        </w:numPr>
        <w:rPr>
          <w:rFonts w:cs="Arial"/>
          <w:bCs/>
          <w:szCs w:val="22"/>
        </w:rPr>
      </w:pPr>
      <w:r w:rsidRPr="005A2883">
        <w:rPr>
          <w:rFonts w:cs="Arial"/>
          <w:bCs/>
          <w:szCs w:val="22"/>
        </w:rPr>
        <w:t>Financial considerations,</w:t>
      </w:r>
    </w:p>
    <w:p w14:paraId="4498610F" w14:textId="77777777" w:rsidR="005A2883" w:rsidRPr="005A2883" w:rsidRDefault="005A5D49" w:rsidP="005A2883">
      <w:pPr>
        <w:numPr>
          <w:ilvl w:val="0"/>
          <w:numId w:val="24"/>
        </w:numPr>
        <w:rPr>
          <w:rFonts w:cs="Arial"/>
          <w:bCs/>
          <w:szCs w:val="22"/>
        </w:rPr>
      </w:pPr>
      <w:r w:rsidRPr="005A2883">
        <w:rPr>
          <w:rFonts w:cs="Arial"/>
          <w:bCs/>
          <w:szCs w:val="22"/>
        </w:rPr>
        <w:t>Regional and national risk factors,</w:t>
      </w:r>
    </w:p>
    <w:p w14:paraId="44986110" w14:textId="77777777" w:rsidR="005A2883" w:rsidRPr="005A2883" w:rsidRDefault="005A5D49" w:rsidP="005A2883">
      <w:pPr>
        <w:numPr>
          <w:ilvl w:val="0"/>
          <w:numId w:val="24"/>
        </w:numPr>
        <w:rPr>
          <w:rFonts w:cs="Arial"/>
          <w:bCs/>
          <w:szCs w:val="22"/>
        </w:rPr>
      </w:pPr>
      <w:r w:rsidRPr="005A2883">
        <w:rPr>
          <w:rFonts w:cs="Arial"/>
          <w:bCs/>
          <w:szCs w:val="22"/>
        </w:rPr>
        <w:t>Previous risks experienced by the council.</w:t>
      </w:r>
    </w:p>
    <w:p w14:paraId="44986111" w14:textId="77777777" w:rsidR="005A2883" w:rsidRPr="005A2883" w:rsidRDefault="005A5D49" w:rsidP="005A2883">
      <w:pPr>
        <w:tabs>
          <w:tab w:val="left" w:pos="567"/>
        </w:tabs>
        <w:rPr>
          <w:rFonts w:cs="Arial"/>
          <w:b/>
          <w:szCs w:val="22"/>
        </w:rPr>
      </w:pPr>
    </w:p>
    <w:p w14:paraId="44986112" w14:textId="77777777" w:rsidR="005A2883" w:rsidRPr="005A2883" w:rsidRDefault="005A5D49" w:rsidP="005A2883">
      <w:pPr>
        <w:tabs>
          <w:tab w:val="left" w:pos="567"/>
        </w:tabs>
        <w:rPr>
          <w:rFonts w:cs="Arial"/>
          <w:b/>
        </w:rPr>
      </w:pPr>
      <w:r w:rsidRPr="005A2883">
        <w:rPr>
          <w:rFonts w:cs="Arial"/>
          <w:b/>
        </w:rPr>
        <w:t xml:space="preserve">SUMMARY OF THE RISKS </w:t>
      </w:r>
    </w:p>
    <w:p w14:paraId="44986113" w14:textId="77777777" w:rsidR="005A2883" w:rsidRPr="005A2883" w:rsidRDefault="005A5D49" w:rsidP="005A2883">
      <w:pPr>
        <w:tabs>
          <w:tab w:val="left" w:pos="567"/>
        </w:tabs>
        <w:rPr>
          <w:rFonts w:cs="Arial"/>
          <w:b/>
        </w:rPr>
      </w:pPr>
    </w:p>
    <w:p w14:paraId="44986114"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A summary of the </w:t>
      </w:r>
      <w:r w:rsidRPr="005A2883">
        <w:rPr>
          <w:rFonts w:eastAsia="Calibri" w:cs="Arial"/>
          <w:b/>
          <w:szCs w:val="22"/>
          <w:lang w:eastAsia="en-US"/>
        </w:rPr>
        <w:t xml:space="preserve">inherent </w:t>
      </w:r>
      <w:r w:rsidRPr="005A2883">
        <w:rPr>
          <w:rFonts w:eastAsia="Calibri" w:cs="Arial"/>
          <w:bCs/>
          <w:szCs w:val="22"/>
          <w:lang w:eastAsia="en-US"/>
        </w:rPr>
        <w:t>risks (ordered highest to lowest risk) for</w:t>
      </w:r>
      <w:r w:rsidRPr="005A2883">
        <w:rPr>
          <w:rFonts w:eastAsia="Calibri" w:cs="Arial"/>
          <w:bCs/>
          <w:szCs w:val="22"/>
          <w:lang w:eastAsia="en-US"/>
        </w:rPr>
        <w:t xml:space="preserve"> 2021 can be found below.</w:t>
      </w:r>
    </w:p>
    <w:p w14:paraId="44986115" w14:textId="77777777" w:rsidR="005A2883" w:rsidRPr="005A2883" w:rsidRDefault="005A5D49" w:rsidP="005A2883">
      <w:pPr>
        <w:tabs>
          <w:tab w:val="left" w:pos="567"/>
        </w:tabs>
        <w:spacing w:after="160" w:line="256" w:lineRule="auto"/>
        <w:ind w:left="720"/>
        <w:contextualSpacing/>
        <w:rPr>
          <w:rFonts w:eastAsia="Calibri" w:cs="Arial"/>
          <w:bCs/>
          <w:szCs w:val="22"/>
          <w:lang w:eastAsia="en-US"/>
        </w:rPr>
      </w:pPr>
    </w:p>
    <w:p w14:paraId="44986116" w14:textId="77777777" w:rsidR="005A2883" w:rsidRPr="005A2883" w:rsidRDefault="005A5D49" w:rsidP="005A2883">
      <w:pPr>
        <w:numPr>
          <w:ilvl w:val="0"/>
          <w:numId w:val="25"/>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Eight risks (50%) have been rated high </w:t>
      </w:r>
    </w:p>
    <w:p w14:paraId="44986117" w14:textId="77777777" w:rsidR="005A2883" w:rsidRPr="005A2883" w:rsidRDefault="005A5D49" w:rsidP="005A2883">
      <w:pPr>
        <w:numPr>
          <w:ilvl w:val="0"/>
          <w:numId w:val="25"/>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Eight risks (50%) have been rated medium </w:t>
      </w:r>
    </w:p>
    <w:p w14:paraId="44986118" w14:textId="77777777" w:rsidR="005A2883" w:rsidRPr="005A2883" w:rsidRDefault="005A5D49" w:rsidP="005A2883">
      <w:pPr>
        <w:tabs>
          <w:tab w:val="left" w:pos="567"/>
        </w:tabs>
        <w:rPr>
          <w:rFonts w:cs="Arial"/>
          <w:b/>
        </w:rPr>
      </w:pPr>
    </w:p>
    <w:tbl>
      <w:tblPr>
        <w:tblW w:w="4862" w:type="pct"/>
        <w:tblInd w:w="421" w:type="dxa"/>
        <w:tblLook w:val="04A0" w:firstRow="1" w:lastRow="0" w:firstColumn="1" w:lastColumn="0" w:noHBand="0" w:noVBand="1"/>
      </w:tblPr>
      <w:tblGrid>
        <w:gridCol w:w="1598"/>
        <w:gridCol w:w="3362"/>
        <w:gridCol w:w="2103"/>
        <w:gridCol w:w="1153"/>
        <w:gridCol w:w="1146"/>
      </w:tblGrid>
      <w:tr w:rsidR="0063033B" w14:paraId="4498611F" w14:textId="77777777" w:rsidTr="005A2883">
        <w:trPr>
          <w:trHeight w:val="300"/>
          <w:tblHeader/>
        </w:trPr>
        <w:tc>
          <w:tcPr>
            <w:tcW w:w="853" w:type="pct"/>
            <w:tcBorders>
              <w:top w:val="single" w:sz="4" w:space="0" w:color="auto"/>
              <w:left w:val="single" w:sz="4" w:space="0" w:color="auto"/>
              <w:bottom w:val="single" w:sz="4" w:space="0" w:color="auto"/>
              <w:right w:val="single" w:sz="4" w:space="0" w:color="auto"/>
            </w:tcBorders>
            <w:shd w:val="clear" w:color="auto" w:fill="D9D9D9"/>
            <w:noWrap/>
            <w:tcMar>
              <w:top w:w="15" w:type="dxa"/>
              <w:left w:w="108" w:type="dxa"/>
              <w:bottom w:w="0" w:type="dxa"/>
              <w:right w:w="108" w:type="dxa"/>
            </w:tcMar>
            <w:vAlign w:val="bottom"/>
            <w:hideMark/>
          </w:tcPr>
          <w:p w14:paraId="44986119" w14:textId="77777777" w:rsidR="005A2883" w:rsidRPr="005A2883" w:rsidRDefault="005A5D49" w:rsidP="005A2883">
            <w:pPr>
              <w:jc w:val="center"/>
              <w:rPr>
                <w:rFonts w:cs="Arial"/>
                <w:b/>
                <w:bCs/>
                <w:color w:val="000000"/>
                <w:szCs w:val="22"/>
              </w:rPr>
            </w:pPr>
            <w:r w:rsidRPr="005A2883">
              <w:rPr>
                <w:rFonts w:cs="Arial"/>
                <w:b/>
                <w:bCs/>
                <w:color w:val="000000"/>
                <w:szCs w:val="22"/>
              </w:rPr>
              <w:t>Risk</w:t>
            </w:r>
          </w:p>
        </w:tc>
        <w:tc>
          <w:tcPr>
            <w:tcW w:w="1796" w:type="pct"/>
            <w:tcBorders>
              <w:top w:val="single" w:sz="4" w:space="0" w:color="auto"/>
              <w:left w:val="nil"/>
              <w:bottom w:val="single" w:sz="4" w:space="0" w:color="auto"/>
              <w:right w:val="single" w:sz="4" w:space="0" w:color="auto"/>
            </w:tcBorders>
            <w:shd w:val="clear" w:color="auto" w:fill="D9D9D9"/>
            <w:noWrap/>
            <w:tcMar>
              <w:top w:w="15" w:type="dxa"/>
              <w:left w:w="108" w:type="dxa"/>
              <w:bottom w:w="0" w:type="dxa"/>
              <w:right w:w="108" w:type="dxa"/>
            </w:tcMar>
            <w:vAlign w:val="bottom"/>
            <w:hideMark/>
          </w:tcPr>
          <w:p w14:paraId="4498611A" w14:textId="77777777" w:rsidR="005A2883" w:rsidRPr="005A2883" w:rsidRDefault="005A5D49" w:rsidP="005A2883">
            <w:pPr>
              <w:jc w:val="center"/>
              <w:rPr>
                <w:rFonts w:cs="Arial"/>
                <w:b/>
                <w:bCs/>
                <w:color w:val="000000"/>
                <w:szCs w:val="22"/>
              </w:rPr>
            </w:pPr>
            <w:r w:rsidRPr="005A2883">
              <w:rPr>
                <w:rFonts w:cs="Arial"/>
                <w:b/>
                <w:bCs/>
                <w:color w:val="000000"/>
                <w:szCs w:val="22"/>
              </w:rPr>
              <w:t>Description</w:t>
            </w:r>
          </w:p>
        </w:tc>
        <w:tc>
          <w:tcPr>
            <w:tcW w:w="1123" w:type="pct"/>
            <w:tcBorders>
              <w:top w:val="single" w:sz="4" w:space="0" w:color="auto"/>
              <w:left w:val="nil"/>
              <w:bottom w:val="single" w:sz="4" w:space="0" w:color="auto"/>
              <w:right w:val="single" w:sz="4" w:space="0" w:color="auto"/>
            </w:tcBorders>
            <w:shd w:val="clear" w:color="auto" w:fill="D9D9D9"/>
            <w:noWrap/>
            <w:tcMar>
              <w:top w:w="15" w:type="dxa"/>
              <w:left w:w="108" w:type="dxa"/>
              <w:bottom w:w="0" w:type="dxa"/>
              <w:right w:w="108" w:type="dxa"/>
            </w:tcMar>
            <w:vAlign w:val="bottom"/>
            <w:hideMark/>
          </w:tcPr>
          <w:p w14:paraId="4498611B" w14:textId="77777777" w:rsidR="005A2883" w:rsidRPr="005A2883" w:rsidRDefault="005A5D49" w:rsidP="005A2883">
            <w:pPr>
              <w:jc w:val="center"/>
              <w:rPr>
                <w:rFonts w:cs="Arial"/>
                <w:b/>
                <w:bCs/>
                <w:color w:val="000000"/>
                <w:szCs w:val="22"/>
              </w:rPr>
            </w:pPr>
            <w:r w:rsidRPr="005A2883">
              <w:rPr>
                <w:rFonts w:cs="Arial"/>
                <w:b/>
                <w:bCs/>
                <w:color w:val="000000"/>
                <w:szCs w:val="22"/>
              </w:rPr>
              <w:t>Owner</w:t>
            </w:r>
          </w:p>
        </w:tc>
        <w:tc>
          <w:tcPr>
            <w:tcW w:w="616" w:type="pct"/>
            <w:tcBorders>
              <w:top w:val="single" w:sz="4" w:space="0" w:color="auto"/>
              <w:left w:val="nil"/>
              <w:bottom w:val="single" w:sz="4" w:space="0" w:color="auto"/>
              <w:right w:val="single" w:sz="4" w:space="0" w:color="auto"/>
            </w:tcBorders>
            <w:shd w:val="clear" w:color="auto" w:fill="D9D9D9"/>
            <w:noWrap/>
            <w:tcMar>
              <w:top w:w="15" w:type="dxa"/>
              <w:left w:w="108" w:type="dxa"/>
              <w:bottom w:w="0" w:type="dxa"/>
              <w:right w:w="108" w:type="dxa"/>
            </w:tcMar>
            <w:vAlign w:val="bottom"/>
            <w:hideMark/>
          </w:tcPr>
          <w:p w14:paraId="4498611C" w14:textId="77777777" w:rsidR="005A2883" w:rsidRPr="005A2883" w:rsidRDefault="005A5D49" w:rsidP="005A2883">
            <w:pPr>
              <w:jc w:val="center"/>
              <w:rPr>
                <w:rFonts w:cs="Arial"/>
                <w:b/>
                <w:bCs/>
                <w:color w:val="000000"/>
                <w:szCs w:val="22"/>
              </w:rPr>
            </w:pPr>
            <w:r w:rsidRPr="005A2883">
              <w:rPr>
                <w:rFonts w:cs="Arial"/>
                <w:b/>
                <w:bCs/>
                <w:color w:val="000000"/>
                <w:szCs w:val="22"/>
              </w:rPr>
              <w:t xml:space="preserve">Inherent </w:t>
            </w:r>
          </w:p>
          <w:p w14:paraId="4498611D" w14:textId="77777777" w:rsidR="005A2883" w:rsidRPr="005A2883" w:rsidRDefault="005A5D49" w:rsidP="005A2883">
            <w:pPr>
              <w:jc w:val="center"/>
              <w:rPr>
                <w:rFonts w:cs="Arial"/>
                <w:b/>
                <w:bCs/>
                <w:color w:val="000000"/>
                <w:szCs w:val="22"/>
              </w:rPr>
            </w:pPr>
            <w:r w:rsidRPr="005A2883">
              <w:rPr>
                <w:rFonts w:cs="Arial"/>
                <w:b/>
                <w:bCs/>
                <w:color w:val="000000"/>
                <w:szCs w:val="22"/>
              </w:rPr>
              <w:t>risk</w:t>
            </w:r>
          </w:p>
        </w:tc>
        <w:tc>
          <w:tcPr>
            <w:tcW w:w="612" w:type="pct"/>
            <w:tcBorders>
              <w:top w:val="single" w:sz="4" w:space="0" w:color="auto"/>
              <w:left w:val="nil"/>
              <w:bottom w:val="single" w:sz="4" w:space="0" w:color="auto"/>
              <w:right w:val="single" w:sz="4" w:space="0" w:color="auto"/>
            </w:tcBorders>
            <w:shd w:val="clear" w:color="auto" w:fill="D9D9D9"/>
            <w:tcMar>
              <w:top w:w="15" w:type="dxa"/>
              <w:left w:w="108" w:type="dxa"/>
              <w:bottom w:w="0" w:type="dxa"/>
              <w:right w:w="108" w:type="dxa"/>
            </w:tcMar>
            <w:hideMark/>
          </w:tcPr>
          <w:p w14:paraId="4498611E" w14:textId="77777777" w:rsidR="005A2883" w:rsidRPr="005A2883" w:rsidRDefault="005A5D49" w:rsidP="005A2883">
            <w:pPr>
              <w:jc w:val="center"/>
              <w:rPr>
                <w:rFonts w:cs="Arial"/>
                <w:b/>
                <w:bCs/>
                <w:color w:val="000000"/>
                <w:szCs w:val="22"/>
              </w:rPr>
            </w:pPr>
            <w:r w:rsidRPr="005A2883">
              <w:rPr>
                <w:rFonts w:cs="Arial"/>
                <w:b/>
                <w:bCs/>
                <w:color w:val="000000"/>
                <w:szCs w:val="22"/>
              </w:rPr>
              <w:t xml:space="preserve">Residual risk </w:t>
            </w:r>
          </w:p>
        </w:tc>
      </w:tr>
      <w:tr w:rsidR="0063033B" w14:paraId="44986128" w14:textId="77777777" w:rsidTr="005A2883">
        <w:trPr>
          <w:trHeight w:val="1944"/>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20" w14:textId="77777777" w:rsidR="005A2883" w:rsidRPr="005A2883" w:rsidRDefault="005A5D49" w:rsidP="005A2883">
            <w:pPr>
              <w:rPr>
                <w:rFonts w:cs="Arial"/>
                <w:color w:val="000000"/>
                <w:szCs w:val="22"/>
              </w:rPr>
            </w:pPr>
            <w:r w:rsidRPr="005A2883">
              <w:rPr>
                <w:rFonts w:cs="Arial"/>
                <w:b/>
                <w:bCs/>
                <w:color w:val="000000"/>
                <w:szCs w:val="22"/>
              </w:rPr>
              <w:t>R01</w:t>
            </w:r>
            <w:r w:rsidRPr="005A2883">
              <w:rPr>
                <w:rFonts w:cs="Arial"/>
                <w:color w:val="000000"/>
                <w:szCs w:val="22"/>
              </w:rPr>
              <w:t xml:space="preserve"> </w:t>
            </w:r>
          </w:p>
          <w:p w14:paraId="44986121" w14:textId="77777777" w:rsidR="005A2883" w:rsidRPr="005A2883" w:rsidRDefault="005A5D49" w:rsidP="005A2883">
            <w:pPr>
              <w:rPr>
                <w:rFonts w:cs="Arial"/>
                <w:color w:val="000000"/>
                <w:szCs w:val="22"/>
              </w:rPr>
            </w:pPr>
            <w:r w:rsidRPr="005A2883">
              <w:rPr>
                <w:rFonts w:cs="Arial"/>
                <w:color w:val="000000"/>
                <w:szCs w:val="22"/>
              </w:rPr>
              <w:t>Service delivery</w:t>
            </w:r>
          </w:p>
        </w:tc>
        <w:tc>
          <w:tcPr>
            <w:tcW w:w="1796" w:type="pct"/>
            <w:tcBorders>
              <w:top w:val="nil"/>
              <w:left w:val="nil"/>
              <w:bottom w:val="single" w:sz="4" w:space="0" w:color="auto"/>
              <w:right w:val="single" w:sz="4" w:space="0" w:color="auto"/>
            </w:tcBorders>
            <w:tcMar>
              <w:top w:w="15" w:type="dxa"/>
              <w:left w:w="108" w:type="dxa"/>
              <w:bottom w:w="0" w:type="dxa"/>
              <w:right w:w="108" w:type="dxa"/>
            </w:tcMar>
            <w:hideMark/>
          </w:tcPr>
          <w:p w14:paraId="44986122" w14:textId="77777777" w:rsidR="005A2883" w:rsidRPr="005A2883" w:rsidRDefault="005A5D49" w:rsidP="005A2883">
            <w:pPr>
              <w:rPr>
                <w:rFonts w:cs="Arial"/>
                <w:color w:val="000000"/>
                <w:szCs w:val="22"/>
              </w:rPr>
            </w:pPr>
            <w:r w:rsidRPr="005A2883">
              <w:rPr>
                <w:rFonts w:cs="Arial"/>
                <w:color w:val="000000"/>
                <w:szCs w:val="22"/>
              </w:rPr>
              <w:t xml:space="preserve">The ability of the council to continue its service delivery being either halted or significantly scaled back as a result of major incidents or emergencies such as cyber-attacks, pandemics. </w:t>
            </w:r>
          </w:p>
        </w:tc>
        <w:tc>
          <w:tcPr>
            <w:tcW w:w="1123" w:type="pct"/>
            <w:tcBorders>
              <w:top w:val="nil"/>
              <w:left w:val="nil"/>
              <w:bottom w:val="single" w:sz="4" w:space="0" w:color="auto"/>
              <w:right w:val="single" w:sz="4" w:space="0" w:color="auto"/>
            </w:tcBorders>
            <w:tcMar>
              <w:top w:w="15" w:type="dxa"/>
              <w:left w:w="108" w:type="dxa"/>
              <w:bottom w:w="0" w:type="dxa"/>
              <w:right w:w="108" w:type="dxa"/>
            </w:tcMar>
            <w:hideMark/>
          </w:tcPr>
          <w:p w14:paraId="44986123" w14:textId="77777777" w:rsidR="005A2883" w:rsidRPr="005A2883" w:rsidRDefault="005A5D49" w:rsidP="005A2883">
            <w:pPr>
              <w:rPr>
                <w:rFonts w:cs="Arial"/>
                <w:color w:val="000000"/>
                <w:szCs w:val="22"/>
              </w:rPr>
            </w:pPr>
            <w:r w:rsidRPr="005A2883">
              <w:rPr>
                <w:rFonts w:cs="Arial"/>
                <w:color w:val="000000"/>
                <w:szCs w:val="22"/>
              </w:rPr>
              <w:t>Chief Exec/Deputy Chief Exec</w:t>
            </w:r>
          </w:p>
        </w:tc>
        <w:tc>
          <w:tcPr>
            <w:tcW w:w="616" w:type="pct"/>
            <w:tcBorders>
              <w:top w:val="nil"/>
              <w:left w:val="nil"/>
              <w:bottom w:val="single" w:sz="4" w:space="0" w:color="auto"/>
              <w:right w:val="single" w:sz="4" w:space="0" w:color="auto"/>
            </w:tcBorders>
            <w:shd w:val="clear" w:color="auto" w:fill="FF0000"/>
            <w:noWrap/>
            <w:tcMar>
              <w:top w:w="15" w:type="dxa"/>
              <w:left w:w="108" w:type="dxa"/>
              <w:bottom w:w="0" w:type="dxa"/>
              <w:right w:w="108" w:type="dxa"/>
            </w:tcMar>
            <w:hideMark/>
          </w:tcPr>
          <w:p w14:paraId="44986124" w14:textId="77777777" w:rsidR="005A2883" w:rsidRPr="005A2883" w:rsidRDefault="005A5D49" w:rsidP="005A2883">
            <w:pPr>
              <w:jc w:val="center"/>
              <w:rPr>
                <w:rFonts w:cs="Arial"/>
                <w:b/>
                <w:bCs/>
                <w:color w:val="000000"/>
                <w:szCs w:val="22"/>
              </w:rPr>
            </w:pPr>
            <w:r w:rsidRPr="005A2883">
              <w:rPr>
                <w:rFonts w:cs="Arial"/>
                <w:b/>
                <w:bCs/>
                <w:color w:val="000000"/>
                <w:szCs w:val="22"/>
              </w:rPr>
              <w:t>16</w:t>
            </w:r>
          </w:p>
          <w:p w14:paraId="44986125" w14:textId="77777777" w:rsidR="005A2883" w:rsidRPr="005A2883" w:rsidRDefault="005A5D49" w:rsidP="005A2883">
            <w:pPr>
              <w:jc w:val="center"/>
              <w:rPr>
                <w:rFonts w:cs="Arial"/>
                <w:color w:val="000000"/>
                <w:szCs w:val="22"/>
              </w:rPr>
            </w:pPr>
            <w:r w:rsidRPr="005A2883">
              <w:rPr>
                <w:rFonts w:cs="Arial"/>
                <w:color w:val="000000"/>
                <w:szCs w:val="22"/>
              </w:rPr>
              <w:t>(high)</w:t>
            </w:r>
          </w:p>
        </w:tc>
        <w:tc>
          <w:tcPr>
            <w:tcW w:w="612" w:type="pct"/>
            <w:tcBorders>
              <w:top w:val="nil"/>
              <w:left w:val="nil"/>
              <w:bottom w:val="single" w:sz="4" w:space="0" w:color="auto"/>
              <w:right w:val="single" w:sz="4" w:space="0" w:color="auto"/>
            </w:tcBorders>
            <w:shd w:val="clear" w:color="auto" w:fill="FFC000"/>
            <w:tcMar>
              <w:top w:w="15" w:type="dxa"/>
              <w:left w:w="108" w:type="dxa"/>
              <w:bottom w:w="0" w:type="dxa"/>
              <w:right w:w="108" w:type="dxa"/>
            </w:tcMar>
            <w:hideMark/>
          </w:tcPr>
          <w:p w14:paraId="44986126" w14:textId="77777777" w:rsidR="005A2883" w:rsidRPr="005A2883" w:rsidRDefault="005A5D49" w:rsidP="005A2883">
            <w:pPr>
              <w:jc w:val="center"/>
              <w:rPr>
                <w:rFonts w:cs="Arial"/>
                <w:b/>
                <w:bCs/>
                <w:color w:val="000000"/>
                <w:szCs w:val="22"/>
              </w:rPr>
            </w:pPr>
            <w:r w:rsidRPr="005A2883">
              <w:rPr>
                <w:rFonts w:cs="Arial"/>
                <w:b/>
                <w:bCs/>
                <w:color w:val="000000"/>
                <w:szCs w:val="22"/>
              </w:rPr>
              <w:t xml:space="preserve">9 </w:t>
            </w:r>
          </w:p>
          <w:p w14:paraId="44986127" w14:textId="77777777" w:rsidR="005A2883" w:rsidRPr="005A2883" w:rsidRDefault="005A5D49" w:rsidP="005A2883">
            <w:pPr>
              <w:jc w:val="center"/>
              <w:rPr>
                <w:rFonts w:cs="Arial"/>
                <w:color w:val="000000"/>
                <w:szCs w:val="22"/>
              </w:rPr>
            </w:pPr>
            <w:r w:rsidRPr="005A2883">
              <w:rPr>
                <w:rFonts w:cs="Arial"/>
                <w:color w:val="000000"/>
                <w:szCs w:val="22"/>
              </w:rPr>
              <w:t>(medium)</w:t>
            </w:r>
          </w:p>
        </w:tc>
      </w:tr>
      <w:tr w:rsidR="0063033B" w14:paraId="44986131" w14:textId="77777777" w:rsidTr="005A2883">
        <w:trPr>
          <w:trHeight w:val="1686"/>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29" w14:textId="77777777" w:rsidR="005A2883" w:rsidRPr="005A2883" w:rsidRDefault="005A5D49" w:rsidP="005A2883">
            <w:pPr>
              <w:rPr>
                <w:rFonts w:cs="Arial"/>
                <w:b/>
                <w:bCs/>
                <w:color w:val="000000"/>
                <w:szCs w:val="22"/>
              </w:rPr>
            </w:pPr>
            <w:r w:rsidRPr="005A2883">
              <w:rPr>
                <w:rFonts w:cs="Arial"/>
                <w:b/>
                <w:bCs/>
                <w:color w:val="000000"/>
                <w:szCs w:val="22"/>
              </w:rPr>
              <w:t>R02</w:t>
            </w:r>
          </w:p>
          <w:p w14:paraId="4498612A" w14:textId="77777777" w:rsidR="005A2883" w:rsidRPr="005A2883" w:rsidRDefault="005A5D49" w:rsidP="005A2883">
            <w:pPr>
              <w:rPr>
                <w:rFonts w:cs="Arial"/>
                <w:b/>
                <w:bCs/>
                <w:color w:val="000000"/>
                <w:szCs w:val="22"/>
              </w:rPr>
            </w:pPr>
            <w:r w:rsidRPr="005A2883">
              <w:rPr>
                <w:rFonts w:cs="Arial"/>
                <w:color w:val="000000"/>
                <w:szCs w:val="22"/>
              </w:rPr>
              <w:t>Corporate Governance failure</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2B" w14:textId="77777777" w:rsidR="005A2883" w:rsidRPr="005A2883" w:rsidRDefault="005A5D49" w:rsidP="005A2883">
            <w:pPr>
              <w:rPr>
                <w:rFonts w:cs="Arial"/>
                <w:color w:val="000000"/>
                <w:szCs w:val="22"/>
              </w:rPr>
            </w:pPr>
            <w:r w:rsidRPr="005A2883">
              <w:rPr>
                <w:rFonts w:cs="Arial"/>
                <w:color w:val="000000"/>
                <w:szCs w:val="22"/>
              </w:rPr>
              <w:t>Failure to implement and maintain the corporate governance framework action plan leading to continued fundamental weaknesses in internal controls</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2C" w14:textId="77777777" w:rsidR="005A2883" w:rsidRPr="005A2883" w:rsidRDefault="005A5D49" w:rsidP="005A2883">
            <w:pPr>
              <w:rPr>
                <w:rFonts w:cs="Arial"/>
                <w:color w:val="000000"/>
                <w:szCs w:val="22"/>
              </w:rPr>
            </w:pPr>
            <w:r w:rsidRPr="005A2883">
              <w:rPr>
                <w:rFonts w:cs="Arial"/>
                <w:color w:val="000000"/>
                <w:szCs w:val="22"/>
              </w:rPr>
              <w:t>Director Governance</w:t>
            </w:r>
          </w:p>
        </w:tc>
        <w:tc>
          <w:tcPr>
            <w:tcW w:w="616" w:type="pct"/>
            <w:tcBorders>
              <w:top w:val="nil"/>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2D"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2E" w14:textId="77777777" w:rsidR="005A2883" w:rsidRPr="005A2883" w:rsidRDefault="005A5D49" w:rsidP="005A2883">
            <w:pPr>
              <w:jc w:val="center"/>
              <w:rPr>
                <w:rFonts w:cs="Arial"/>
                <w:b/>
                <w:bCs/>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2F" w14:textId="77777777" w:rsidR="005A2883" w:rsidRPr="005A2883" w:rsidRDefault="005A5D49" w:rsidP="005A2883">
            <w:pPr>
              <w:jc w:val="center"/>
              <w:rPr>
                <w:rFonts w:cs="Arial"/>
                <w:b/>
                <w:bCs/>
                <w:color w:val="000000"/>
                <w:szCs w:val="22"/>
              </w:rPr>
            </w:pPr>
            <w:r w:rsidRPr="005A2883">
              <w:rPr>
                <w:rFonts w:cs="Arial"/>
                <w:b/>
                <w:bCs/>
                <w:color w:val="000000"/>
                <w:szCs w:val="22"/>
              </w:rPr>
              <w:t>6</w:t>
            </w:r>
          </w:p>
          <w:p w14:paraId="44986130" w14:textId="77777777" w:rsidR="005A2883" w:rsidRPr="005A2883" w:rsidRDefault="005A5D49" w:rsidP="005A2883">
            <w:pPr>
              <w:jc w:val="center"/>
              <w:rPr>
                <w:rFonts w:cs="Arial"/>
                <w:b/>
                <w:bCs/>
                <w:color w:val="000000"/>
                <w:szCs w:val="22"/>
              </w:rPr>
            </w:pPr>
            <w:r w:rsidRPr="005A2883">
              <w:rPr>
                <w:rFonts w:cs="Arial"/>
                <w:color w:val="000000"/>
                <w:szCs w:val="22"/>
              </w:rPr>
              <w:t>(medium)</w:t>
            </w:r>
          </w:p>
        </w:tc>
      </w:tr>
      <w:tr w:rsidR="0063033B" w14:paraId="4498613A" w14:textId="77777777" w:rsidTr="005A2883">
        <w:trPr>
          <w:trHeight w:val="1129"/>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32" w14:textId="77777777" w:rsidR="005A2883" w:rsidRPr="005A2883" w:rsidRDefault="005A5D49" w:rsidP="005A2883">
            <w:pPr>
              <w:rPr>
                <w:rFonts w:cs="Arial"/>
                <w:b/>
                <w:bCs/>
                <w:color w:val="000000"/>
                <w:szCs w:val="22"/>
              </w:rPr>
            </w:pPr>
            <w:r w:rsidRPr="005A2883">
              <w:rPr>
                <w:rFonts w:cs="Arial"/>
                <w:b/>
                <w:bCs/>
                <w:color w:val="000000"/>
                <w:szCs w:val="22"/>
              </w:rPr>
              <w:t xml:space="preserve">R03 </w:t>
            </w:r>
          </w:p>
          <w:p w14:paraId="44986133" w14:textId="77777777" w:rsidR="005A2883" w:rsidRPr="005A2883" w:rsidRDefault="005A5D49" w:rsidP="005A2883">
            <w:pPr>
              <w:rPr>
                <w:rFonts w:cs="Arial"/>
                <w:b/>
                <w:bCs/>
                <w:color w:val="000000"/>
                <w:szCs w:val="22"/>
              </w:rPr>
            </w:pPr>
            <w:r w:rsidRPr="005A2883">
              <w:rPr>
                <w:rFonts w:cs="Arial"/>
                <w:color w:val="000000"/>
                <w:szCs w:val="22"/>
              </w:rPr>
              <w:t xml:space="preserve">Financial </w:t>
            </w:r>
            <w:r w:rsidRPr="005A2883">
              <w:rPr>
                <w:rFonts w:cs="Arial"/>
                <w:color w:val="000000"/>
                <w:szCs w:val="22"/>
              </w:rPr>
              <w:t>sustainability</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34" w14:textId="77777777" w:rsidR="005A2883" w:rsidRPr="005A2883" w:rsidRDefault="005A5D49" w:rsidP="005A2883">
            <w:pPr>
              <w:rPr>
                <w:rFonts w:cs="Arial"/>
                <w:color w:val="000000"/>
                <w:szCs w:val="22"/>
              </w:rPr>
            </w:pPr>
            <w:r w:rsidRPr="005A2883">
              <w:rPr>
                <w:rFonts w:cs="Arial"/>
                <w:color w:val="000000"/>
                <w:szCs w:val="22"/>
              </w:rPr>
              <w:t>Reduction in current funding streams including government grant and key public sector and third-party partners</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35" w14:textId="77777777" w:rsidR="005A2883" w:rsidRPr="005A2883" w:rsidRDefault="005A5D49" w:rsidP="005A2883">
            <w:pPr>
              <w:rPr>
                <w:rFonts w:cs="Arial"/>
                <w:color w:val="000000"/>
                <w:szCs w:val="22"/>
              </w:rPr>
            </w:pPr>
            <w:r w:rsidRPr="005A2883">
              <w:rPr>
                <w:rFonts w:cs="Arial"/>
                <w:color w:val="000000"/>
                <w:szCs w:val="22"/>
              </w:rPr>
              <w:t>Director Finance/ Deputy Director Finance</w:t>
            </w:r>
          </w:p>
        </w:tc>
        <w:tc>
          <w:tcPr>
            <w:tcW w:w="616" w:type="pct"/>
            <w:tcBorders>
              <w:top w:val="nil"/>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36"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37" w14:textId="77777777" w:rsidR="005A2883" w:rsidRPr="005A2883" w:rsidRDefault="005A5D49" w:rsidP="005A2883">
            <w:pPr>
              <w:jc w:val="center"/>
              <w:rPr>
                <w:rFonts w:cs="Arial"/>
                <w:b/>
                <w:bCs/>
                <w:color w:val="000000"/>
                <w:szCs w:val="22"/>
              </w:rPr>
            </w:pPr>
            <w:r w:rsidRPr="005A2883">
              <w:rPr>
                <w:rFonts w:cs="Arial"/>
                <w:color w:val="000000"/>
                <w:szCs w:val="22"/>
              </w:rPr>
              <w:t>(high)</w:t>
            </w:r>
          </w:p>
        </w:tc>
        <w:tc>
          <w:tcPr>
            <w:tcW w:w="612" w:type="pct"/>
            <w:tcBorders>
              <w:top w:val="nil"/>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38" w14:textId="77777777" w:rsidR="005A2883" w:rsidRPr="005A2883" w:rsidRDefault="005A5D49" w:rsidP="005A2883">
            <w:pPr>
              <w:shd w:val="clear" w:color="auto" w:fill="FFC000"/>
              <w:jc w:val="center"/>
              <w:rPr>
                <w:rFonts w:cs="Arial"/>
                <w:b/>
                <w:bCs/>
                <w:color w:val="000000"/>
                <w:szCs w:val="22"/>
              </w:rPr>
            </w:pPr>
            <w:r w:rsidRPr="005A2883">
              <w:rPr>
                <w:rFonts w:cs="Arial"/>
                <w:b/>
                <w:bCs/>
                <w:color w:val="000000"/>
                <w:szCs w:val="22"/>
              </w:rPr>
              <w:t>9</w:t>
            </w:r>
          </w:p>
          <w:p w14:paraId="44986139" w14:textId="77777777" w:rsidR="005A2883" w:rsidRPr="005A2883" w:rsidRDefault="005A5D49" w:rsidP="005A2883">
            <w:pPr>
              <w:jc w:val="center"/>
              <w:rPr>
                <w:rFonts w:cs="Arial"/>
                <w:b/>
                <w:bCs/>
                <w:color w:val="000000"/>
                <w:szCs w:val="22"/>
              </w:rPr>
            </w:pPr>
            <w:r w:rsidRPr="005A2883">
              <w:rPr>
                <w:rFonts w:cs="Arial"/>
                <w:color w:val="000000"/>
                <w:szCs w:val="22"/>
                <w:shd w:val="clear" w:color="auto" w:fill="FFC000"/>
              </w:rPr>
              <w:t>(medium)</w:t>
            </w:r>
          </w:p>
        </w:tc>
      </w:tr>
      <w:tr w:rsidR="0063033B" w14:paraId="44986149" w14:textId="77777777" w:rsidTr="005A5D49">
        <w:trPr>
          <w:trHeight w:val="2089"/>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3B" w14:textId="77777777" w:rsidR="005A2883" w:rsidRPr="005A2883" w:rsidRDefault="005A5D49" w:rsidP="005A2883">
            <w:pPr>
              <w:rPr>
                <w:rFonts w:cs="Arial"/>
                <w:b/>
                <w:bCs/>
                <w:color w:val="000000"/>
                <w:szCs w:val="22"/>
              </w:rPr>
            </w:pPr>
            <w:r w:rsidRPr="005A2883">
              <w:rPr>
                <w:rFonts w:cs="Arial"/>
                <w:b/>
                <w:bCs/>
                <w:color w:val="000000"/>
                <w:szCs w:val="22"/>
              </w:rPr>
              <w:t xml:space="preserve">R04 </w:t>
            </w:r>
          </w:p>
          <w:p w14:paraId="4498613C" w14:textId="77777777" w:rsidR="005A2883" w:rsidRPr="005A2883" w:rsidRDefault="005A5D49" w:rsidP="005A2883">
            <w:pPr>
              <w:rPr>
                <w:rFonts w:cs="Arial"/>
                <w:b/>
                <w:bCs/>
                <w:color w:val="000000"/>
                <w:szCs w:val="22"/>
              </w:rPr>
            </w:pPr>
            <w:r w:rsidRPr="005A2883">
              <w:rPr>
                <w:rFonts w:cs="Arial"/>
                <w:color w:val="000000"/>
                <w:szCs w:val="22"/>
              </w:rPr>
              <w:t xml:space="preserve">Management of capital funding and capital programme </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3D" w14:textId="77777777" w:rsidR="005A2883" w:rsidRPr="005A2883" w:rsidRDefault="005A5D49" w:rsidP="005A2883">
            <w:pPr>
              <w:rPr>
                <w:rFonts w:cs="Arial"/>
                <w:color w:val="000000"/>
                <w:szCs w:val="22"/>
              </w:rPr>
            </w:pPr>
            <w:r w:rsidRPr="005A2883">
              <w:rPr>
                <w:rFonts w:cs="Arial"/>
                <w:color w:val="000000"/>
                <w:szCs w:val="22"/>
              </w:rPr>
              <w:t xml:space="preserve">Poor management and monitoring of capital funding to deliver large scale improvements to the corporate plan - ensuring that is on track and up to date and projects are delivered within agreed timescales </w:t>
            </w:r>
            <w:r w:rsidRPr="005A2883">
              <w:rPr>
                <w:rFonts w:cs="Arial"/>
                <w:color w:val="000000"/>
                <w:szCs w:val="22"/>
              </w:rPr>
              <w:t>and budget</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4498613E" w14:textId="77777777" w:rsidR="005A2883" w:rsidRPr="005A2883" w:rsidRDefault="005A5D49" w:rsidP="005A2883">
            <w:pPr>
              <w:rPr>
                <w:rFonts w:cs="Arial"/>
                <w:color w:val="000000"/>
                <w:szCs w:val="22"/>
              </w:rPr>
            </w:pPr>
            <w:r w:rsidRPr="005A2883">
              <w:rPr>
                <w:rFonts w:cs="Arial"/>
                <w:color w:val="000000"/>
                <w:szCs w:val="22"/>
              </w:rPr>
              <w:t>Director Finance/ Senior Responsible Officers</w:t>
            </w:r>
          </w:p>
          <w:p w14:paraId="4498613F" w14:textId="77777777" w:rsidR="005A2883" w:rsidRPr="005A2883" w:rsidRDefault="005A5D49" w:rsidP="005A2883">
            <w:pPr>
              <w:rPr>
                <w:rFonts w:cs="Arial"/>
                <w:color w:val="000000"/>
                <w:szCs w:val="22"/>
              </w:rPr>
            </w:pPr>
          </w:p>
          <w:p w14:paraId="44986140" w14:textId="77777777" w:rsidR="005A2883" w:rsidRPr="005A2883" w:rsidRDefault="005A5D49" w:rsidP="005A2883">
            <w:pPr>
              <w:rPr>
                <w:rFonts w:cs="Arial"/>
                <w:color w:val="000000"/>
                <w:szCs w:val="22"/>
              </w:rPr>
            </w:pPr>
          </w:p>
          <w:p w14:paraId="44986141" w14:textId="77777777" w:rsidR="005A2883" w:rsidRPr="005A2883" w:rsidRDefault="005A5D49" w:rsidP="005A2883">
            <w:pPr>
              <w:rPr>
                <w:rFonts w:cs="Arial"/>
                <w:color w:val="000000"/>
                <w:szCs w:val="22"/>
              </w:rPr>
            </w:pPr>
          </w:p>
          <w:p w14:paraId="44986144" w14:textId="77777777" w:rsidR="005A2883" w:rsidRPr="005A2883" w:rsidRDefault="005A5D49" w:rsidP="005A2883">
            <w:pPr>
              <w:rPr>
                <w:rFonts w:cs="Arial"/>
                <w:color w:val="000000"/>
                <w:szCs w:val="22"/>
              </w:rPr>
            </w:pPr>
          </w:p>
        </w:tc>
        <w:tc>
          <w:tcPr>
            <w:tcW w:w="616" w:type="pct"/>
            <w:tcBorders>
              <w:top w:val="nil"/>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45"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46" w14:textId="77777777" w:rsidR="005A2883" w:rsidRPr="005A2883" w:rsidRDefault="005A5D49" w:rsidP="005A2883">
            <w:pPr>
              <w:jc w:val="center"/>
              <w:rPr>
                <w:rFonts w:cs="Arial"/>
                <w:b/>
                <w:bCs/>
                <w:color w:val="000000"/>
                <w:szCs w:val="22"/>
              </w:rPr>
            </w:pPr>
            <w:r w:rsidRPr="005A2883">
              <w:rPr>
                <w:rFonts w:cs="Arial"/>
                <w:color w:val="000000"/>
                <w:szCs w:val="22"/>
              </w:rPr>
              <w:t>(high)</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47"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48" w14:textId="77777777" w:rsidR="005A2883" w:rsidRPr="005A2883" w:rsidRDefault="005A5D49" w:rsidP="005A2883">
            <w:pPr>
              <w:jc w:val="center"/>
              <w:rPr>
                <w:rFonts w:cs="Arial"/>
                <w:b/>
                <w:bCs/>
                <w:color w:val="000000"/>
                <w:szCs w:val="22"/>
              </w:rPr>
            </w:pPr>
            <w:r w:rsidRPr="005A2883">
              <w:rPr>
                <w:rFonts w:cs="Arial"/>
                <w:color w:val="000000"/>
                <w:szCs w:val="22"/>
              </w:rPr>
              <w:t>(medium)</w:t>
            </w:r>
          </w:p>
        </w:tc>
      </w:tr>
      <w:tr w:rsidR="0063033B" w14:paraId="44986153" w14:textId="77777777" w:rsidTr="005A2883">
        <w:trPr>
          <w:trHeight w:val="1944"/>
        </w:trPr>
        <w:tc>
          <w:tcPr>
            <w:tcW w:w="853" w:type="pct"/>
            <w:tcBorders>
              <w:top w:val="nil"/>
              <w:left w:val="single" w:sz="4" w:space="0" w:color="auto"/>
              <w:bottom w:val="single" w:sz="4" w:space="0" w:color="000000"/>
              <w:right w:val="single" w:sz="4" w:space="0" w:color="auto"/>
            </w:tcBorders>
            <w:tcMar>
              <w:top w:w="15" w:type="dxa"/>
              <w:left w:w="108" w:type="dxa"/>
              <w:bottom w:w="0" w:type="dxa"/>
              <w:right w:w="108" w:type="dxa"/>
            </w:tcMar>
            <w:hideMark/>
          </w:tcPr>
          <w:p w14:paraId="4498614A" w14:textId="77777777" w:rsidR="005A2883" w:rsidRPr="005A2883" w:rsidRDefault="005A5D49" w:rsidP="005A2883">
            <w:pPr>
              <w:rPr>
                <w:rFonts w:cs="Arial"/>
                <w:b/>
                <w:bCs/>
                <w:color w:val="000000"/>
                <w:szCs w:val="22"/>
              </w:rPr>
            </w:pPr>
            <w:r w:rsidRPr="005A2883">
              <w:rPr>
                <w:rFonts w:cs="Arial"/>
                <w:b/>
                <w:bCs/>
                <w:color w:val="000000"/>
                <w:szCs w:val="22"/>
              </w:rPr>
              <w:t>R05</w:t>
            </w:r>
          </w:p>
          <w:p w14:paraId="4498614B" w14:textId="77777777" w:rsidR="005A2883" w:rsidRPr="005A2883" w:rsidRDefault="005A5D49" w:rsidP="005A2883">
            <w:pPr>
              <w:rPr>
                <w:rFonts w:cs="Arial"/>
                <w:b/>
                <w:bCs/>
                <w:color w:val="000000"/>
                <w:szCs w:val="22"/>
              </w:rPr>
            </w:pPr>
            <w:r w:rsidRPr="005A2883">
              <w:rPr>
                <w:rFonts w:cs="Arial"/>
                <w:color w:val="000000"/>
                <w:szCs w:val="22"/>
              </w:rPr>
              <w:t>External legislation and policy change</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4498614C" w14:textId="77777777" w:rsidR="005A2883" w:rsidRPr="005A2883" w:rsidRDefault="005A5D49" w:rsidP="005A2883">
            <w:pPr>
              <w:rPr>
                <w:rFonts w:cs="Arial"/>
                <w:szCs w:val="22"/>
              </w:rPr>
            </w:pPr>
            <w:r w:rsidRPr="005A2883">
              <w:rPr>
                <w:rFonts w:cs="Arial"/>
                <w:szCs w:val="22"/>
              </w:rPr>
              <w:t xml:space="preserve">Failure to account for and/or respond to external legislation and policy change for example those brought about by </w:t>
            </w:r>
            <w:r w:rsidRPr="005A2883">
              <w:rPr>
                <w:rFonts w:cs="Arial"/>
                <w:szCs w:val="22"/>
              </w:rPr>
              <w:t>BREXIT, Universal Credit, GDPR, local government transformation, Green agenda.</w:t>
            </w:r>
          </w:p>
          <w:p w14:paraId="4498614D" w14:textId="77777777" w:rsidR="005A2883" w:rsidRPr="005A2883" w:rsidRDefault="005A5D49" w:rsidP="005A2883">
            <w:pPr>
              <w:rPr>
                <w:rFonts w:cs="Arial"/>
                <w:color w:val="000000"/>
                <w:szCs w:val="22"/>
              </w:rPr>
            </w:pPr>
          </w:p>
        </w:tc>
        <w:tc>
          <w:tcPr>
            <w:tcW w:w="1123" w:type="pct"/>
            <w:tcBorders>
              <w:top w:val="nil"/>
              <w:left w:val="single" w:sz="4" w:space="0" w:color="auto"/>
              <w:bottom w:val="single" w:sz="4" w:space="0" w:color="000000"/>
              <w:right w:val="single" w:sz="4" w:space="0" w:color="auto"/>
            </w:tcBorders>
            <w:tcMar>
              <w:top w:w="15" w:type="dxa"/>
              <w:left w:w="108" w:type="dxa"/>
              <w:bottom w:w="0" w:type="dxa"/>
              <w:right w:w="108" w:type="dxa"/>
            </w:tcMar>
            <w:hideMark/>
          </w:tcPr>
          <w:p w14:paraId="4498614E" w14:textId="77777777" w:rsidR="005A2883" w:rsidRPr="005A2883" w:rsidRDefault="005A5D49" w:rsidP="005A2883">
            <w:pPr>
              <w:rPr>
                <w:rFonts w:cs="Arial"/>
                <w:color w:val="000000"/>
                <w:szCs w:val="22"/>
              </w:rPr>
            </w:pPr>
            <w:r w:rsidRPr="005A2883">
              <w:rPr>
                <w:rFonts w:cs="Arial"/>
                <w:color w:val="000000"/>
                <w:szCs w:val="22"/>
              </w:rPr>
              <w:t xml:space="preserve">Director Governance </w:t>
            </w:r>
          </w:p>
        </w:tc>
        <w:tc>
          <w:tcPr>
            <w:tcW w:w="616" w:type="pct"/>
            <w:tcBorders>
              <w:top w:val="single" w:sz="4" w:space="0" w:color="auto"/>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4F"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50" w14:textId="77777777" w:rsidR="005A2883" w:rsidRPr="005A2883" w:rsidRDefault="005A5D49" w:rsidP="005A2883">
            <w:pPr>
              <w:jc w:val="center"/>
              <w:rPr>
                <w:rFonts w:cs="Arial"/>
                <w:b/>
                <w:bCs/>
                <w:color w:val="000000"/>
                <w:szCs w:val="22"/>
              </w:rPr>
            </w:pPr>
            <w:r w:rsidRPr="005A2883">
              <w:rPr>
                <w:rFonts w:cs="Arial"/>
                <w:color w:val="000000"/>
                <w:szCs w:val="22"/>
              </w:rPr>
              <w:t>(high)</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51" w14:textId="77777777" w:rsidR="005A2883" w:rsidRPr="005A2883" w:rsidRDefault="005A5D49" w:rsidP="005A2883">
            <w:pPr>
              <w:jc w:val="center"/>
              <w:rPr>
                <w:rFonts w:cs="Arial"/>
                <w:b/>
                <w:bCs/>
                <w:color w:val="000000"/>
                <w:szCs w:val="22"/>
              </w:rPr>
            </w:pPr>
            <w:r w:rsidRPr="005A2883">
              <w:rPr>
                <w:rFonts w:cs="Arial"/>
                <w:b/>
                <w:bCs/>
                <w:color w:val="000000"/>
                <w:szCs w:val="22"/>
              </w:rPr>
              <w:t>8</w:t>
            </w:r>
          </w:p>
          <w:p w14:paraId="44986152" w14:textId="77777777" w:rsidR="005A2883" w:rsidRPr="005A2883" w:rsidRDefault="005A5D49" w:rsidP="005A2883">
            <w:pPr>
              <w:jc w:val="center"/>
              <w:rPr>
                <w:rFonts w:cs="Arial"/>
                <w:b/>
                <w:bCs/>
                <w:color w:val="000000"/>
                <w:szCs w:val="22"/>
              </w:rPr>
            </w:pPr>
            <w:r w:rsidRPr="005A2883">
              <w:rPr>
                <w:rFonts w:cs="Arial"/>
                <w:color w:val="000000"/>
                <w:szCs w:val="22"/>
              </w:rPr>
              <w:t>(medium)</w:t>
            </w:r>
          </w:p>
        </w:tc>
      </w:tr>
      <w:tr w:rsidR="0063033B" w14:paraId="4498615D" w14:textId="77777777" w:rsidTr="005A2883">
        <w:trPr>
          <w:trHeight w:val="1299"/>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54" w14:textId="77777777" w:rsidR="005A2883" w:rsidRPr="005A2883" w:rsidRDefault="005A5D49" w:rsidP="005A2883">
            <w:pPr>
              <w:rPr>
                <w:rFonts w:cs="Arial"/>
                <w:b/>
                <w:bCs/>
                <w:color w:val="000000"/>
                <w:szCs w:val="22"/>
              </w:rPr>
            </w:pPr>
            <w:r w:rsidRPr="005A2883">
              <w:rPr>
                <w:rFonts w:cs="Arial"/>
                <w:b/>
                <w:bCs/>
                <w:color w:val="000000"/>
                <w:szCs w:val="22"/>
              </w:rPr>
              <w:lastRenderedPageBreak/>
              <w:t>R06</w:t>
            </w:r>
          </w:p>
          <w:p w14:paraId="44986155" w14:textId="77777777" w:rsidR="005A2883" w:rsidRPr="005A2883" w:rsidRDefault="005A5D49" w:rsidP="005A2883">
            <w:pPr>
              <w:rPr>
                <w:rFonts w:cs="Arial"/>
                <w:b/>
                <w:bCs/>
                <w:color w:val="000000"/>
                <w:szCs w:val="22"/>
              </w:rPr>
            </w:pPr>
            <w:r w:rsidRPr="005A2883">
              <w:rPr>
                <w:rFonts w:cs="Arial"/>
                <w:color w:val="000000"/>
                <w:szCs w:val="22"/>
              </w:rPr>
              <w:t>Staff capacity and skills</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44986156" w14:textId="77777777" w:rsidR="005A2883" w:rsidRPr="005A2883" w:rsidRDefault="005A5D49" w:rsidP="005A2883">
            <w:pPr>
              <w:rPr>
                <w:rFonts w:cs="Arial"/>
                <w:color w:val="000000"/>
                <w:szCs w:val="22"/>
              </w:rPr>
            </w:pPr>
            <w:r w:rsidRPr="005A2883">
              <w:rPr>
                <w:rFonts w:cs="Arial"/>
                <w:color w:val="000000"/>
                <w:szCs w:val="22"/>
              </w:rPr>
              <w:t xml:space="preserve">Lack of staff capacity and/or skills to enable the Council to deliver large-scale capital </w:t>
            </w:r>
            <w:r w:rsidRPr="005A2883">
              <w:rPr>
                <w:rFonts w:cs="Arial"/>
                <w:color w:val="000000"/>
                <w:szCs w:val="22"/>
              </w:rPr>
              <w:t>projects to support the Corporate Strategy</w:t>
            </w:r>
          </w:p>
          <w:p w14:paraId="44986157" w14:textId="77777777" w:rsidR="005A2883" w:rsidRPr="005A2883" w:rsidRDefault="005A5D49" w:rsidP="005A2883">
            <w:pPr>
              <w:rPr>
                <w:rFonts w:cs="Arial"/>
                <w:color w:val="000000"/>
                <w:szCs w:val="22"/>
              </w:rPr>
            </w:pP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58" w14:textId="77777777" w:rsidR="005A2883" w:rsidRPr="005A2883" w:rsidRDefault="005A5D49" w:rsidP="005A2883">
            <w:pPr>
              <w:rPr>
                <w:rFonts w:cs="Arial"/>
                <w:color w:val="000000"/>
                <w:szCs w:val="22"/>
              </w:rPr>
            </w:pPr>
            <w:r w:rsidRPr="005A2883">
              <w:rPr>
                <w:rFonts w:cs="Arial"/>
                <w:color w:val="000000"/>
                <w:szCs w:val="22"/>
              </w:rPr>
              <w:t xml:space="preserve">Deputy Chief Exec </w:t>
            </w:r>
          </w:p>
        </w:tc>
        <w:tc>
          <w:tcPr>
            <w:tcW w:w="616" w:type="pct"/>
            <w:tcBorders>
              <w:top w:val="nil"/>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59"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5A" w14:textId="77777777" w:rsidR="005A2883" w:rsidRPr="005A2883" w:rsidRDefault="005A5D49" w:rsidP="005A2883">
            <w:pPr>
              <w:jc w:val="center"/>
              <w:rPr>
                <w:rFonts w:cs="Arial"/>
                <w:b/>
                <w:bCs/>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92D050"/>
            <w:tcMar>
              <w:top w:w="15" w:type="dxa"/>
              <w:left w:w="108" w:type="dxa"/>
              <w:bottom w:w="0" w:type="dxa"/>
              <w:right w:w="108" w:type="dxa"/>
            </w:tcMar>
            <w:hideMark/>
          </w:tcPr>
          <w:p w14:paraId="4498615B" w14:textId="77777777" w:rsidR="005A2883" w:rsidRPr="005A2883" w:rsidRDefault="005A5D49" w:rsidP="005A2883">
            <w:pPr>
              <w:jc w:val="center"/>
              <w:rPr>
                <w:rFonts w:cs="Arial"/>
                <w:b/>
                <w:bCs/>
                <w:color w:val="000000"/>
                <w:szCs w:val="22"/>
              </w:rPr>
            </w:pPr>
            <w:r w:rsidRPr="005A2883">
              <w:rPr>
                <w:rFonts w:cs="Arial"/>
                <w:b/>
                <w:bCs/>
                <w:color w:val="000000"/>
                <w:szCs w:val="22"/>
              </w:rPr>
              <w:t>4</w:t>
            </w:r>
          </w:p>
          <w:p w14:paraId="4498615C" w14:textId="77777777" w:rsidR="005A2883" w:rsidRPr="005A2883" w:rsidRDefault="005A5D49" w:rsidP="005A2883">
            <w:pPr>
              <w:jc w:val="center"/>
              <w:rPr>
                <w:rFonts w:cs="Arial"/>
                <w:b/>
                <w:bCs/>
                <w:color w:val="000000"/>
                <w:szCs w:val="22"/>
              </w:rPr>
            </w:pPr>
            <w:r w:rsidRPr="005A2883">
              <w:rPr>
                <w:rFonts w:cs="Arial"/>
                <w:color w:val="000000"/>
                <w:szCs w:val="22"/>
              </w:rPr>
              <w:t>(low)</w:t>
            </w:r>
          </w:p>
        </w:tc>
      </w:tr>
      <w:tr w:rsidR="0063033B" w14:paraId="44986166" w14:textId="77777777" w:rsidTr="005A2883">
        <w:trPr>
          <w:trHeight w:val="1590"/>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5E" w14:textId="77777777" w:rsidR="005A2883" w:rsidRPr="005A2883" w:rsidRDefault="005A5D49" w:rsidP="005A2883">
            <w:pPr>
              <w:rPr>
                <w:rFonts w:cs="Arial"/>
                <w:b/>
                <w:bCs/>
                <w:color w:val="000000"/>
                <w:szCs w:val="22"/>
              </w:rPr>
            </w:pPr>
            <w:r w:rsidRPr="005A2883">
              <w:rPr>
                <w:rFonts w:cs="Arial"/>
                <w:b/>
                <w:bCs/>
                <w:color w:val="000000"/>
                <w:szCs w:val="22"/>
              </w:rPr>
              <w:t xml:space="preserve">R07 </w:t>
            </w:r>
          </w:p>
          <w:p w14:paraId="4498615F" w14:textId="77777777" w:rsidR="005A2883" w:rsidRPr="005A2883" w:rsidRDefault="005A5D49" w:rsidP="005A2883">
            <w:pPr>
              <w:rPr>
                <w:rFonts w:cs="Arial"/>
                <w:b/>
                <w:bCs/>
                <w:color w:val="000000"/>
                <w:szCs w:val="22"/>
              </w:rPr>
            </w:pPr>
            <w:r w:rsidRPr="005A2883">
              <w:rPr>
                <w:rFonts w:cs="Arial"/>
                <w:color w:val="000000"/>
                <w:szCs w:val="22"/>
              </w:rPr>
              <w:t>ICT security and data protection</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60" w14:textId="77777777" w:rsidR="005A2883" w:rsidRPr="005A2883" w:rsidRDefault="005A5D49" w:rsidP="005A2883">
            <w:pPr>
              <w:rPr>
                <w:rFonts w:cs="Arial"/>
                <w:color w:val="000000"/>
                <w:szCs w:val="22"/>
              </w:rPr>
            </w:pPr>
            <w:r w:rsidRPr="005A2883">
              <w:rPr>
                <w:rFonts w:cs="Arial"/>
                <w:color w:val="000000"/>
                <w:szCs w:val="22"/>
              </w:rPr>
              <w:t xml:space="preserve">Failure to comply with GDPR regulations and data legislation leading to action taken against the council, including reputation and legal action resulting in fines. </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61" w14:textId="77777777" w:rsidR="005A2883" w:rsidRPr="005A2883" w:rsidRDefault="005A5D49" w:rsidP="005A2883">
            <w:pPr>
              <w:rPr>
                <w:rFonts w:cs="Arial"/>
                <w:color w:val="000000"/>
                <w:szCs w:val="22"/>
              </w:rPr>
            </w:pPr>
            <w:r w:rsidRPr="005A2883">
              <w:rPr>
                <w:rFonts w:cs="Arial"/>
                <w:color w:val="000000"/>
                <w:szCs w:val="22"/>
              </w:rPr>
              <w:t>Director Customer and Digital</w:t>
            </w:r>
          </w:p>
        </w:tc>
        <w:tc>
          <w:tcPr>
            <w:tcW w:w="616" w:type="pct"/>
            <w:tcBorders>
              <w:top w:val="nil"/>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62"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63" w14:textId="77777777" w:rsidR="005A2883" w:rsidRPr="005A2883" w:rsidRDefault="005A5D49" w:rsidP="005A2883">
            <w:pPr>
              <w:jc w:val="center"/>
              <w:rPr>
                <w:rFonts w:cs="Arial"/>
                <w:b/>
                <w:bCs/>
                <w:color w:val="000000"/>
                <w:szCs w:val="22"/>
              </w:rPr>
            </w:pPr>
            <w:r w:rsidRPr="005A2883">
              <w:rPr>
                <w:rFonts w:cs="Arial"/>
                <w:color w:val="000000"/>
                <w:szCs w:val="22"/>
              </w:rPr>
              <w:t>(high)</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64" w14:textId="77777777" w:rsidR="005A2883" w:rsidRPr="005A2883" w:rsidRDefault="005A5D49" w:rsidP="005A2883">
            <w:pPr>
              <w:jc w:val="center"/>
              <w:rPr>
                <w:rFonts w:cs="Arial"/>
                <w:b/>
                <w:bCs/>
                <w:color w:val="000000"/>
                <w:szCs w:val="22"/>
              </w:rPr>
            </w:pPr>
            <w:r w:rsidRPr="005A2883">
              <w:rPr>
                <w:rFonts w:cs="Arial"/>
                <w:b/>
                <w:bCs/>
                <w:color w:val="000000"/>
                <w:szCs w:val="22"/>
              </w:rPr>
              <w:t>8</w:t>
            </w:r>
          </w:p>
          <w:p w14:paraId="44986165" w14:textId="77777777" w:rsidR="005A2883" w:rsidRPr="005A2883" w:rsidRDefault="005A5D49" w:rsidP="005A2883">
            <w:pPr>
              <w:jc w:val="center"/>
              <w:rPr>
                <w:rFonts w:cs="Arial"/>
                <w:b/>
                <w:bCs/>
                <w:color w:val="000000"/>
                <w:szCs w:val="22"/>
              </w:rPr>
            </w:pPr>
            <w:r w:rsidRPr="005A2883">
              <w:rPr>
                <w:rFonts w:cs="Arial"/>
                <w:color w:val="000000"/>
                <w:szCs w:val="22"/>
              </w:rPr>
              <w:t>(medium)</w:t>
            </w:r>
          </w:p>
        </w:tc>
      </w:tr>
      <w:tr w:rsidR="0063033B" w14:paraId="44986170" w14:textId="77777777" w:rsidTr="005A5D49">
        <w:trPr>
          <w:trHeight w:val="961"/>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67" w14:textId="77777777" w:rsidR="005A2883" w:rsidRPr="005A2883" w:rsidRDefault="005A5D49" w:rsidP="005A2883">
            <w:pPr>
              <w:rPr>
                <w:rFonts w:cs="Arial"/>
                <w:b/>
                <w:bCs/>
                <w:color w:val="000000"/>
                <w:szCs w:val="22"/>
              </w:rPr>
            </w:pPr>
            <w:r w:rsidRPr="005A2883">
              <w:rPr>
                <w:rFonts w:cs="Arial"/>
                <w:b/>
                <w:bCs/>
                <w:color w:val="000000"/>
                <w:szCs w:val="22"/>
              </w:rPr>
              <w:t xml:space="preserve">R08 </w:t>
            </w:r>
          </w:p>
          <w:p w14:paraId="44986168" w14:textId="77777777" w:rsidR="005A2883" w:rsidRPr="005A2883" w:rsidRDefault="005A5D49" w:rsidP="005A2883">
            <w:pPr>
              <w:rPr>
                <w:rFonts w:cs="Arial"/>
                <w:b/>
                <w:bCs/>
                <w:color w:val="000000"/>
                <w:szCs w:val="22"/>
              </w:rPr>
            </w:pPr>
            <w:r w:rsidRPr="005A2883">
              <w:rPr>
                <w:rFonts w:cs="Arial"/>
                <w:color w:val="000000"/>
                <w:szCs w:val="22"/>
              </w:rPr>
              <w:t>Strategic partnerships</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4498616A" w14:textId="16708DD2" w:rsidR="005A2883" w:rsidRPr="005A2883" w:rsidRDefault="005A5D49" w:rsidP="005A2883">
            <w:pPr>
              <w:rPr>
                <w:rFonts w:cs="Arial"/>
                <w:color w:val="000000"/>
                <w:szCs w:val="22"/>
              </w:rPr>
            </w:pPr>
            <w:r w:rsidRPr="005A2883">
              <w:rPr>
                <w:rFonts w:cs="Arial"/>
                <w:color w:val="000000"/>
                <w:szCs w:val="22"/>
              </w:rPr>
              <w:t>Failure to achieve desired outcomes through strategic relationships incl. City Deal</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6B" w14:textId="77777777" w:rsidR="005A2883" w:rsidRPr="005A2883" w:rsidRDefault="005A5D49" w:rsidP="005A2883">
            <w:pPr>
              <w:rPr>
                <w:rFonts w:cs="Arial"/>
                <w:color w:val="000000"/>
                <w:szCs w:val="22"/>
              </w:rPr>
            </w:pPr>
            <w:r w:rsidRPr="005A2883">
              <w:rPr>
                <w:rFonts w:cs="Arial"/>
                <w:color w:val="000000"/>
                <w:szCs w:val="22"/>
              </w:rPr>
              <w:t>Chief Exec/Deputy Chief Exec</w:t>
            </w:r>
          </w:p>
        </w:tc>
        <w:tc>
          <w:tcPr>
            <w:tcW w:w="616" w:type="pct"/>
            <w:tcBorders>
              <w:top w:val="nil"/>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6C" w14:textId="77777777" w:rsidR="005A2883" w:rsidRPr="005A2883" w:rsidRDefault="005A5D49" w:rsidP="005A2883">
            <w:pPr>
              <w:jc w:val="center"/>
              <w:rPr>
                <w:rFonts w:cs="Arial"/>
                <w:b/>
                <w:bCs/>
                <w:color w:val="000000"/>
                <w:szCs w:val="22"/>
              </w:rPr>
            </w:pPr>
            <w:r w:rsidRPr="005A2883">
              <w:rPr>
                <w:rFonts w:cs="Arial"/>
                <w:b/>
                <w:bCs/>
                <w:color w:val="000000"/>
                <w:szCs w:val="22"/>
              </w:rPr>
              <w:t>16</w:t>
            </w:r>
          </w:p>
          <w:p w14:paraId="4498616D" w14:textId="77777777" w:rsidR="005A2883" w:rsidRPr="005A2883" w:rsidRDefault="005A5D49" w:rsidP="005A2883">
            <w:pPr>
              <w:jc w:val="center"/>
              <w:rPr>
                <w:rFonts w:cs="Arial"/>
                <w:b/>
                <w:bCs/>
                <w:color w:val="000000"/>
                <w:szCs w:val="22"/>
              </w:rPr>
            </w:pPr>
            <w:r w:rsidRPr="005A2883">
              <w:rPr>
                <w:rFonts w:cs="Arial"/>
                <w:color w:val="000000"/>
                <w:szCs w:val="22"/>
              </w:rPr>
              <w:t>(high)</w:t>
            </w:r>
          </w:p>
        </w:tc>
        <w:tc>
          <w:tcPr>
            <w:tcW w:w="612" w:type="pct"/>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hideMark/>
          </w:tcPr>
          <w:p w14:paraId="4498616E"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6F" w14:textId="77777777" w:rsidR="005A2883" w:rsidRPr="005A2883" w:rsidRDefault="005A5D49" w:rsidP="005A2883">
            <w:pPr>
              <w:jc w:val="center"/>
              <w:rPr>
                <w:rFonts w:cs="Arial"/>
                <w:color w:val="000000"/>
                <w:szCs w:val="22"/>
              </w:rPr>
            </w:pPr>
            <w:r w:rsidRPr="005A2883">
              <w:rPr>
                <w:rFonts w:cs="Arial"/>
                <w:color w:val="000000"/>
                <w:szCs w:val="22"/>
              </w:rPr>
              <w:t>(high)</w:t>
            </w:r>
          </w:p>
        </w:tc>
      </w:tr>
      <w:tr w:rsidR="0063033B" w14:paraId="44986179" w14:textId="77777777" w:rsidTr="005A2883">
        <w:trPr>
          <w:trHeight w:val="1169"/>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71" w14:textId="77777777" w:rsidR="005A2883" w:rsidRPr="005A2883" w:rsidRDefault="005A5D49" w:rsidP="005A2883">
            <w:pPr>
              <w:rPr>
                <w:rFonts w:cs="Arial"/>
                <w:b/>
                <w:bCs/>
                <w:color w:val="000000"/>
                <w:szCs w:val="22"/>
              </w:rPr>
            </w:pPr>
            <w:r w:rsidRPr="005A2883">
              <w:rPr>
                <w:rFonts w:cs="Arial"/>
                <w:b/>
                <w:bCs/>
                <w:color w:val="000000"/>
                <w:szCs w:val="22"/>
              </w:rPr>
              <w:t xml:space="preserve">R09 </w:t>
            </w:r>
          </w:p>
          <w:p w14:paraId="44986172" w14:textId="77777777" w:rsidR="005A2883" w:rsidRPr="005A2883" w:rsidRDefault="005A5D49" w:rsidP="005A2883">
            <w:pPr>
              <w:rPr>
                <w:rFonts w:cs="Arial"/>
                <w:color w:val="000000"/>
                <w:szCs w:val="22"/>
              </w:rPr>
            </w:pPr>
            <w:r w:rsidRPr="005A2883">
              <w:rPr>
                <w:rFonts w:cs="Arial"/>
                <w:color w:val="000000"/>
                <w:szCs w:val="22"/>
              </w:rPr>
              <w:t>Agile services (consideration post COVID-19)</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73" w14:textId="77777777" w:rsidR="005A2883" w:rsidRPr="005A2883" w:rsidRDefault="005A5D49" w:rsidP="005A2883">
            <w:pPr>
              <w:rPr>
                <w:rFonts w:cs="Arial"/>
                <w:color w:val="000000"/>
                <w:szCs w:val="22"/>
              </w:rPr>
            </w:pPr>
            <w:r w:rsidRPr="005A2883">
              <w:rPr>
                <w:rFonts w:cs="Arial"/>
                <w:color w:val="000000"/>
                <w:szCs w:val="22"/>
              </w:rPr>
              <w:t xml:space="preserve">Failure to adapt business models and services to reflect changes in </w:t>
            </w:r>
            <w:r w:rsidRPr="005A2883">
              <w:rPr>
                <w:rFonts w:cs="Arial"/>
                <w:color w:val="000000"/>
                <w:szCs w:val="22"/>
              </w:rPr>
              <w:t>the way people interact and do business with the council (including consideration of communities’ post COVID-19, impact of local economy and council services).</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74" w14:textId="77777777" w:rsidR="005A2883" w:rsidRPr="005A2883" w:rsidRDefault="005A5D49" w:rsidP="005A2883">
            <w:pPr>
              <w:rPr>
                <w:rFonts w:cs="Arial"/>
                <w:color w:val="000000"/>
                <w:szCs w:val="22"/>
              </w:rPr>
            </w:pPr>
            <w:r w:rsidRPr="005A2883">
              <w:rPr>
                <w:rFonts w:cs="Arial"/>
                <w:color w:val="000000"/>
                <w:szCs w:val="22"/>
              </w:rPr>
              <w:t>Deputy Chief Executive</w:t>
            </w:r>
          </w:p>
        </w:tc>
        <w:tc>
          <w:tcPr>
            <w:tcW w:w="616" w:type="pct"/>
            <w:tcBorders>
              <w:top w:val="nil"/>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75"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76" w14:textId="77777777" w:rsidR="005A2883" w:rsidRPr="005A2883" w:rsidRDefault="005A5D49" w:rsidP="005A2883">
            <w:pPr>
              <w:jc w:val="center"/>
              <w:rPr>
                <w:rFonts w:cs="Arial"/>
                <w:color w:val="000000"/>
                <w:szCs w:val="22"/>
              </w:rPr>
            </w:pPr>
            <w:r w:rsidRPr="005A2883">
              <w:rPr>
                <w:rFonts w:cs="Arial"/>
                <w:color w:val="000000"/>
                <w:szCs w:val="22"/>
              </w:rPr>
              <w:t>(high)</w:t>
            </w:r>
          </w:p>
        </w:tc>
        <w:tc>
          <w:tcPr>
            <w:tcW w:w="612" w:type="pct"/>
            <w:tcBorders>
              <w:top w:val="nil"/>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77" w14:textId="77777777" w:rsidR="005A2883" w:rsidRPr="005A2883" w:rsidRDefault="005A5D49" w:rsidP="005A2883">
            <w:pPr>
              <w:jc w:val="center"/>
              <w:rPr>
                <w:rFonts w:cs="Arial"/>
                <w:b/>
                <w:bCs/>
                <w:color w:val="000000"/>
                <w:szCs w:val="22"/>
              </w:rPr>
            </w:pPr>
            <w:r w:rsidRPr="005A2883">
              <w:rPr>
                <w:rFonts w:cs="Arial"/>
                <w:b/>
                <w:bCs/>
                <w:color w:val="000000"/>
                <w:szCs w:val="22"/>
              </w:rPr>
              <w:t>8</w:t>
            </w:r>
          </w:p>
          <w:p w14:paraId="44986178" w14:textId="77777777" w:rsidR="005A2883" w:rsidRPr="005A2883" w:rsidRDefault="005A5D49" w:rsidP="005A2883">
            <w:pPr>
              <w:shd w:val="clear" w:color="auto" w:fill="FFC000"/>
              <w:jc w:val="center"/>
              <w:rPr>
                <w:rFonts w:cs="Arial"/>
                <w:color w:val="000000"/>
                <w:szCs w:val="22"/>
              </w:rPr>
            </w:pPr>
            <w:r w:rsidRPr="005A2883">
              <w:rPr>
                <w:rFonts w:cs="Arial"/>
                <w:color w:val="000000"/>
                <w:szCs w:val="22"/>
                <w:shd w:val="clear" w:color="auto" w:fill="FFC000"/>
              </w:rPr>
              <w:t>(medium)</w:t>
            </w:r>
          </w:p>
        </w:tc>
      </w:tr>
      <w:tr w:rsidR="0063033B" w14:paraId="44986182" w14:textId="77777777" w:rsidTr="005A5D49">
        <w:trPr>
          <w:trHeight w:val="863"/>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7A" w14:textId="77777777" w:rsidR="005A2883" w:rsidRPr="005A2883" w:rsidRDefault="005A5D49" w:rsidP="005A2883">
            <w:pPr>
              <w:rPr>
                <w:rFonts w:cs="Arial"/>
                <w:b/>
                <w:bCs/>
                <w:color w:val="000000"/>
                <w:szCs w:val="22"/>
              </w:rPr>
            </w:pPr>
            <w:r w:rsidRPr="005A2883">
              <w:rPr>
                <w:rFonts w:cs="Arial"/>
                <w:b/>
                <w:bCs/>
                <w:color w:val="000000"/>
                <w:szCs w:val="22"/>
              </w:rPr>
              <w:t xml:space="preserve">R10 </w:t>
            </w:r>
          </w:p>
          <w:p w14:paraId="4498617B" w14:textId="77777777" w:rsidR="005A2883" w:rsidRPr="005A2883" w:rsidRDefault="005A5D49" w:rsidP="005A2883">
            <w:pPr>
              <w:rPr>
                <w:rFonts w:cs="Arial"/>
                <w:color w:val="000000"/>
                <w:szCs w:val="22"/>
              </w:rPr>
            </w:pPr>
            <w:r w:rsidRPr="005A2883">
              <w:rPr>
                <w:rFonts w:cs="Arial"/>
                <w:color w:val="000000"/>
                <w:szCs w:val="22"/>
              </w:rPr>
              <w:t>Council's reputation</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7C" w14:textId="77777777" w:rsidR="005A2883" w:rsidRPr="005A2883" w:rsidRDefault="005A5D49" w:rsidP="005A2883">
            <w:pPr>
              <w:rPr>
                <w:rFonts w:cs="Arial"/>
                <w:color w:val="000000"/>
                <w:szCs w:val="22"/>
              </w:rPr>
            </w:pPr>
            <w:r w:rsidRPr="005A2883">
              <w:rPr>
                <w:rFonts w:cs="Arial"/>
                <w:color w:val="000000"/>
                <w:szCs w:val="22"/>
              </w:rPr>
              <w:t xml:space="preserve">Damage to the </w:t>
            </w:r>
            <w:r w:rsidRPr="005A2883">
              <w:rPr>
                <w:rFonts w:cs="Arial"/>
                <w:color w:val="000000"/>
                <w:szCs w:val="22"/>
              </w:rPr>
              <w:t>Council's reputation and potential reduction in resident satisfaction</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7D" w14:textId="77777777" w:rsidR="005A2883" w:rsidRPr="005A2883" w:rsidRDefault="005A5D49" w:rsidP="005A2883">
            <w:pPr>
              <w:rPr>
                <w:rFonts w:cs="Arial"/>
                <w:color w:val="000000"/>
                <w:szCs w:val="22"/>
              </w:rPr>
            </w:pPr>
            <w:r w:rsidRPr="005A2883">
              <w:rPr>
                <w:rFonts w:cs="Arial"/>
                <w:color w:val="000000"/>
                <w:szCs w:val="22"/>
              </w:rPr>
              <w:t>Director Governance</w:t>
            </w:r>
          </w:p>
        </w:tc>
        <w:tc>
          <w:tcPr>
            <w:tcW w:w="616" w:type="pct"/>
            <w:tcBorders>
              <w:top w:val="nil"/>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7E"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7F" w14:textId="77777777" w:rsidR="005A2883" w:rsidRPr="005A2883" w:rsidRDefault="005A5D49" w:rsidP="005A2883">
            <w:pPr>
              <w:jc w:val="center"/>
              <w:rPr>
                <w:rFonts w:cs="Arial"/>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92D050"/>
            <w:tcMar>
              <w:top w:w="15" w:type="dxa"/>
              <w:left w:w="108" w:type="dxa"/>
              <w:bottom w:w="0" w:type="dxa"/>
              <w:right w:w="108" w:type="dxa"/>
            </w:tcMar>
            <w:hideMark/>
          </w:tcPr>
          <w:p w14:paraId="44986180" w14:textId="77777777" w:rsidR="005A2883" w:rsidRPr="005A2883" w:rsidRDefault="005A5D49" w:rsidP="005A2883">
            <w:pPr>
              <w:jc w:val="center"/>
              <w:rPr>
                <w:rFonts w:cs="Arial"/>
                <w:b/>
                <w:bCs/>
                <w:color w:val="000000"/>
                <w:szCs w:val="22"/>
              </w:rPr>
            </w:pPr>
            <w:r w:rsidRPr="005A2883">
              <w:rPr>
                <w:rFonts w:cs="Arial"/>
                <w:b/>
                <w:bCs/>
                <w:color w:val="000000"/>
                <w:szCs w:val="22"/>
              </w:rPr>
              <w:t>4</w:t>
            </w:r>
          </w:p>
          <w:p w14:paraId="44986181" w14:textId="77777777" w:rsidR="005A2883" w:rsidRPr="005A2883" w:rsidRDefault="005A5D49" w:rsidP="005A2883">
            <w:pPr>
              <w:jc w:val="center"/>
              <w:rPr>
                <w:rFonts w:cs="Arial"/>
                <w:color w:val="000000"/>
                <w:szCs w:val="22"/>
              </w:rPr>
            </w:pPr>
            <w:r w:rsidRPr="005A2883">
              <w:rPr>
                <w:rFonts w:cs="Arial"/>
                <w:color w:val="000000"/>
                <w:szCs w:val="22"/>
              </w:rPr>
              <w:t>(low)</w:t>
            </w:r>
          </w:p>
        </w:tc>
      </w:tr>
      <w:tr w:rsidR="0063033B" w14:paraId="4498618B" w14:textId="77777777" w:rsidTr="005A2883">
        <w:trPr>
          <w:trHeight w:val="1177"/>
        </w:trPr>
        <w:tc>
          <w:tcPr>
            <w:tcW w:w="853" w:type="pct"/>
            <w:tcBorders>
              <w:top w:val="nil"/>
              <w:left w:val="single" w:sz="4" w:space="0" w:color="auto"/>
              <w:bottom w:val="single" w:sz="4" w:space="0" w:color="000000"/>
              <w:right w:val="single" w:sz="4" w:space="0" w:color="auto"/>
            </w:tcBorders>
            <w:tcMar>
              <w:top w:w="15" w:type="dxa"/>
              <w:left w:w="108" w:type="dxa"/>
              <w:bottom w:w="0" w:type="dxa"/>
              <w:right w:w="108" w:type="dxa"/>
            </w:tcMar>
            <w:hideMark/>
          </w:tcPr>
          <w:p w14:paraId="44986183" w14:textId="77777777" w:rsidR="005A2883" w:rsidRPr="005A2883" w:rsidRDefault="005A5D49" w:rsidP="005A2883">
            <w:pPr>
              <w:rPr>
                <w:rFonts w:cs="Arial"/>
                <w:b/>
                <w:bCs/>
                <w:color w:val="000000"/>
                <w:szCs w:val="22"/>
              </w:rPr>
            </w:pPr>
            <w:r w:rsidRPr="005A2883">
              <w:rPr>
                <w:rFonts w:cs="Arial"/>
                <w:b/>
                <w:bCs/>
                <w:color w:val="000000"/>
                <w:szCs w:val="22"/>
              </w:rPr>
              <w:t>R11</w:t>
            </w:r>
          </w:p>
          <w:p w14:paraId="44986184" w14:textId="77777777" w:rsidR="005A2883" w:rsidRPr="005A2883" w:rsidRDefault="005A5D49" w:rsidP="005A2883">
            <w:pPr>
              <w:rPr>
                <w:rFonts w:cs="Arial"/>
                <w:color w:val="000000"/>
                <w:szCs w:val="22"/>
              </w:rPr>
            </w:pPr>
            <w:r w:rsidRPr="005A2883">
              <w:rPr>
                <w:rFonts w:cs="Arial"/>
                <w:color w:val="000000"/>
                <w:szCs w:val="22"/>
              </w:rPr>
              <w:t>Shared service arrangements</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85" w14:textId="77777777" w:rsidR="005A2883" w:rsidRPr="005A2883" w:rsidRDefault="005A5D49" w:rsidP="005A2883">
            <w:pPr>
              <w:rPr>
                <w:rFonts w:cs="Arial"/>
                <w:szCs w:val="22"/>
              </w:rPr>
            </w:pPr>
            <w:r w:rsidRPr="005A2883">
              <w:rPr>
                <w:rFonts w:cs="Arial"/>
                <w:color w:val="000000"/>
                <w:szCs w:val="22"/>
              </w:rPr>
              <w:t>Failure of existing shared service arrangements/ failure to expand shared services arrangements</w:t>
            </w:r>
          </w:p>
        </w:tc>
        <w:tc>
          <w:tcPr>
            <w:tcW w:w="1123" w:type="pct"/>
            <w:tcBorders>
              <w:top w:val="nil"/>
              <w:left w:val="single" w:sz="4" w:space="0" w:color="auto"/>
              <w:bottom w:val="single" w:sz="4" w:space="0" w:color="000000"/>
              <w:right w:val="single" w:sz="4" w:space="0" w:color="auto"/>
            </w:tcBorders>
            <w:tcMar>
              <w:top w:w="15" w:type="dxa"/>
              <w:left w:w="108" w:type="dxa"/>
              <w:bottom w:w="0" w:type="dxa"/>
              <w:right w:w="108" w:type="dxa"/>
            </w:tcMar>
            <w:hideMark/>
          </w:tcPr>
          <w:p w14:paraId="44986186" w14:textId="77777777" w:rsidR="005A2883" w:rsidRPr="005A2883" w:rsidRDefault="005A5D49" w:rsidP="005A2883">
            <w:pPr>
              <w:rPr>
                <w:rFonts w:cs="Arial"/>
                <w:color w:val="000000"/>
                <w:szCs w:val="22"/>
              </w:rPr>
            </w:pPr>
            <w:r w:rsidRPr="005A2883">
              <w:rPr>
                <w:rFonts w:cs="Arial"/>
                <w:color w:val="000000"/>
                <w:szCs w:val="22"/>
              </w:rPr>
              <w:t xml:space="preserve">Chief </w:t>
            </w:r>
            <w:r w:rsidRPr="005A2883">
              <w:rPr>
                <w:rFonts w:cs="Arial"/>
                <w:color w:val="000000"/>
                <w:szCs w:val="22"/>
              </w:rPr>
              <w:t>Exec/Deputy Chief Exec</w:t>
            </w:r>
          </w:p>
        </w:tc>
        <w:tc>
          <w:tcPr>
            <w:tcW w:w="616" w:type="pct"/>
            <w:tcBorders>
              <w:top w:val="single" w:sz="4" w:space="0" w:color="auto"/>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87"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88" w14:textId="77777777" w:rsidR="005A2883" w:rsidRPr="005A2883" w:rsidRDefault="005A5D49" w:rsidP="005A2883">
            <w:pPr>
              <w:jc w:val="center"/>
              <w:rPr>
                <w:rFonts w:cs="Arial"/>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92D050"/>
            <w:tcMar>
              <w:top w:w="15" w:type="dxa"/>
              <w:left w:w="108" w:type="dxa"/>
              <w:bottom w:w="0" w:type="dxa"/>
              <w:right w:w="108" w:type="dxa"/>
            </w:tcMar>
            <w:hideMark/>
          </w:tcPr>
          <w:p w14:paraId="44986189" w14:textId="77777777" w:rsidR="005A2883" w:rsidRPr="005A2883" w:rsidRDefault="005A5D49" w:rsidP="005A2883">
            <w:pPr>
              <w:jc w:val="center"/>
              <w:rPr>
                <w:rFonts w:cs="Arial"/>
                <w:b/>
                <w:bCs/>
                <w:color w:val="000000"/>
                <w:szCs w:val="22"/>
              </w:rPr>
            </w:pPr>
            <w:r w:rsidRPr="005A2883">
              <w:rPr>
                <w:rFonts w:cs="Arial"/>
                <w:b/>
                <w:bCs/>
                <w:color w:val="000000"/>
                <w:szCs w:val="22"/>
              </w:rPr>
              <w:t>2</w:t>
            </w:r>
          </w:p>
          <w:p w14:paraId="4498618A" w14:textId="77777777" w:rsidR="005A2883" w:rsidRPr="005A2883" w:rsidRDefault="005A5D49" w:rsidP="005A2883">
            <w:pPr>
              <w:jc w:val="center"/>
              <w:rPr>
                <w:rFonts w:cs="Arial"/>
                <w:color w:val="000000"/>
                <w:szCs w:val="22"/>
              </w:rPr>
            </w:pPr>
            <w:r w:rsidRPr="005A2883">
              <w:rPr>
                <w:rFonts w:cs="Arial"/>
                <w:color w:val="000000"/>
                <w:szCs w:val="22"/>
              </w:rPr>
              <w:t>(low)</w:t>
            </w:r>
          </w:p>
        </w:tc>
      </w:tr>
      <w:tr w:rsidR="0063033B" w14:paraId="44986194" w14:textId="77777777" w:rsidTr="005A2883">
        <w:trPr>
          <w:trHeight w:val="1153"/>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8C" w14:textId="77777777" w:rsidR="005A2883" w:rsidRPr="005A2883" w:rsidRDefault="005A5D49" w:rsidP="005A2883">
            <w:pPr>
              <w:rPr>
                <w:rFonts w:cs="Arial"/>
                <w:b/>
                <w:bCs/>
                <w:color w:val="000000"/>
                <w:szCs w:val="22"/>
              </w:rPr>
            </w:pPr>
            <w:r w:rsidRPr="005A2883">
              <w:rPr>
                <w:rFonts w:cs="Arial"/>
                <w:b/>
                <w:bCs/>
                <w:color w:val="000000"/>
                <w:szCs w:val="22"/>
              </w:rPr>
              <w:t>R12</w:t>
            </w:r>
          </w:p>
          <w:p w14:paraId="4498618D" w14:textId="77777777" w:rsidR="005A2883" w:rsidRPr="005A2883" w:rsidRDefault="005A5D49" w:rsidP="005A2883">
            <w:pPr>
              <w:rPr>
                <w:rFonts w:cs="Arial"/>
                <w:color w:val="000000"/>
                <w:szCs w:val="22"/>
              </w:rPr>
            </w:pPr>
            <w:r w:rsidRPr="005A2883">
              <w:rPr>
                <w:rFonts w:cs="Arial"/>
                <w:color w:val="000000"/>
                <w:szCs w:val="22"/>
              </w:rPr>
              <w:t>Staff satisfaction and morale</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8E" w14:textId="77777777" w:rsidR="005A2883" w:rsidRPr="005A2883" w:rsidRDefault="005A5D49" w:rsidP="005A2883">
            <w:pPr>
              <w:rPr>
                <w:rFonts w:cs="Arial"/>
                <w:color w:val="000000"/>
                <w:szCs w:val="22"/>
              </w:rPr>
            </w:pPr>
            <w:r w:rsidRPr="005A2883">
              <w:rPr>
                <w:rFonts w:cs="Arial"/>
                <w:color w:val="000000"/>
                <w:szCs w:val="22"/>
              </w:rPr>
              <w:t>Reduction in staff satisfaction and morale with the Council including increase in sickness absence</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8F" w14:textId="77777777" w:rsidR="005A2883" w:rsidRPr="005A2883" w:rsidRDefault="005A5D49" w:rsidP="005A2883">
            <w:pPr>
              <w:rPr>
                <w:rFonts w:cs="Arial"/>
                <w:color w:val="000000"/>
                <w:szCs w:val="22"/>
              </w:rPr>
            </w:pPr>
            <w:r w:rsidRPr="005A2883">
              <w:rPr>
                <w:rFonts w:cs="Arial"/>
                <w:color w:val="000000"/>
                <w:szCs w:val="22"/>
              </w:rPr>
              <w:t>Shared Service Lead- Transformation and Partnerships</w:t>
            </w:r>
          </w:p>
        </w:tc>
        <w:tc>
          <w:tcPr>
            <w:tcW w:w="616" w:type="pct"/>
            <w:tcBorders>
              <w:top w:val="single" w:sz="4" w:space="0" w:color="auto"/>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90"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91" w14:textId="77777777" w:rsidR="005A2883" w:rsidRPr="005A2883" w:rsidRDefault="005A5D49" w:rsidP="005A2883">
            <w:pPr>
              <w:jc w:val="center"/>
              <w:rPr>
                <w:rFonts w:cs="Arial"/>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92" w14:textId="77777777" w:rsidR="005A2883" w:rsidRPr="005A2883" w:rsidRDefault="005A5D49" w:rsidP="005A2883">
            <w:pPr>
              <w:jc w:val="center"/>
              <w:rPr>
                <w:rFonts w:cs="Arial"/>
                <w:b/>
                <w:bCs/>
                <w:color w:val="000000"/>
                <w:szCs w:val="22"/>
              </w:rPr>
            </w:pPr>
            <w:r w:rsidRPr="005A2883">
              <w:rPr>
                <w:rFonts w:cs="Arial"/>
                <w:b/>
                <w:bCs/>
                <w:color w:val="000000"/>
                <w:szCs w:val="22"/>
              </w:rPr>
              <w:t>6</w:t>
            </w:r>
          </w:p>
          <w:p w14:paraId="44986193" w14:textId="77777777" w:rsidR="005A2883" w:rsidRPr="005A2883" w:rsidRDefault="005A5D49" w:rsidP="005A2883">
            <w:pPr>
              <w:jc w:val="center"/>
              <w:rPr>
                <w:rFonts w:cs="Arial"/>
                <w:color w:val="000000"/>
                <w:szCs w:val="22"/>
              </w:rPr>
            </w:pPr>
            <w:r w:rsidRPr="005A2883">
              <w:rPr>
                <w:rFonts w:cs="Arial"/>
                <w:color w:val="000000"/>
                <w:szCs w:val="22"/>
              </w:rPr>
              <w:t>(medium)</w:t>
            </w:r>
          </w:p>
        </w:tc>
      </w:tr>
      <w:tr w:rsidR="0063033B" w14:paraId="4498619D" w14:textId="77777777" w:rsidTr="005A2883">
        <w:trPr>
          <w:trHeight w:val="945"/>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95" w14:textId="77777777" w:rsidR="005A2883" w:rsidRPr="005A2883" w:rsidRDefault="005A5D49" w:rsidP="005A2883">
            <w:pPr>
              <w:rPr>
                <w:rFonts w:cs="Arial"/>
                <w:b/>
                <w:bCs/>
                <w:color w:val="000000"/>
                <w:szCs w:val="22"/>
              </w:rPr>
            </w:pPr>
            <w:r w:rsidRPr="005A2883">
              <w:rPr>
                <w:rFonts w:cs="Arial"/>
                <w:b/>
                <w:bCs/>
                <w:color w:val="000000"/>
                <w:szCs w:val="22"/>
              </w:rPr>
              <w:t>R13</w:t>
            </w:r>
          </w:p>
          <w:p w14:paraId="44986196" w14:textId="77777777" w:rsidR="005A2883" w:rsidRPr="005A2883" w:rsidRDefault="005A5D49" w:rsidP="005A2883">
            <w:pPr>
              <w:rPr>
                <w:rFonts w:cs="Arial"/>
                <w:color w:val="000000"/>
                <w:szCs w:val="22"/>
              </w:rPr>
            </w:pPr>
            <w:r w:rsidRPr="005A2883">
              <w:rPr>
                <w:rFonts w:cs="Arial"/>
                <w:color w:val="000000"/>
                <w:szCs w:val="22"/>
              </w:rPr>
              <w:t>Political relationships</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97" w14:textId="77777777" w:rsidR="005A2883" w:rsidRPr="005A2883" w:rsidRDefault="005A5D49" w:rsidP="005A2883">
            <w:pPr>
              <w:rPr>
                <w:rFonts w:cs="Arial"/>
                <w:color w:val="000000"/>
                <w:szCs w:val="22"/>
              </w:rPr>
            </w:pPr>
            <w:r w:rsidRPr="005A2883">
              <w:rPr>
                <w:rFonts w:cs="Arial"/>
                <w:color w:val="000000"/>
                <w:szCs w:val="22"/>
              </w:rPr>
              <w:t xml:space="preserve">Failure to maintain political stability and Officer-Member relationships </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98" w14:textId="77777777" w:rsidR="005A2883" w:rsidRPr="005A2883" w:rsidRDefault="005A5D49" w:rsidP="005A2883">
            <w:pPr>
              <w:rPr>
                <w:rFonts w:cs="Arial"/>
                <w:color w:val="000000"/>
                <w:szCs w:val="22"/>
              </w:rPr>
            </w:pPr>
            <w:r w:rsidRPr="005A2883">
              <w:rPr>
                <w:rFonts w:cs="Arial"/>
                <w:color w:val="000000"/>
                <w:szCs w:val="22"/>
              </w:rPr>
              <w:t>Director Governance</w:t>
            </w:r>
          </w:p>
        </w:tc>
        <w:tc>
          <w:tcPr>
            <w:tcW w:w="616" w:type="pct"/>
            <w:tcBorders>
              <w:top w:val="nil"/>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99"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9A" w14:textId="77777777" w:rsidR="005A2883" w:rsidRPr="005A2883" w:rsidRDefault="005A5D49" w:rsidP="005A2883">
            <w:pPr>
              <w:jc w:val="center"/>
              <w:rPr>
                <w:rFonts w:cs="Arial"/>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9B" w14:textId="77777777" w:rsidR="005A2883" w:rsidRPr="005A2883" w:rsidRDefault="005A5D49" w:rsidP="005A2883">
            <w:pPr>
              <w:jc w:val="center"/>
              <w:rPr>
                <w:rFonts w:cs="Arial"/>
                <w:b/>
                <w:bCs/>
                <w:color w:val="000000"/>
                <w:szCs w:val="22"/>
              </w:rPr>
            </w:pPr>
            <w:r w:rsidRPr="005A2883">
              <w:rPr>
                <w:rFonts w:cs="Arial"/>
                <w:b/>
                <w:bCs/>
                <w:color w:val="000000"/>
                <w:szCs w:val="22"/>
              </w:rPr>
              <w:t>6</w:t>
            </w:r>
          </w:p>
          <w:p w14:paraId="4498619C" w14:textId="77777777" w:rsidR="005A2883" w:rsidRPr="005A2883" w:rsidRDefault="005A5D49" w:rsidP="005A2883">
            <w:pPr>
              <w:jc w:val="center"/>
              <w:rPr>
                <w:rFonts w:cs="Arial"/>
                <w:color w:val="000000"/>
                <w:szCs w:val="22"/>
              </w:rPr>
            </w:pPr>
            <w:r w:rsidRPr="005A2883">
              <w:rPr>
                <w:rFonts w:cs="Arial"/>
                <w:color w:val="000000"/>
                <w:szCs w:val="22"/>
              </w:rPr>
              <w:t>(medium)</w:t>
            </w:r>
          </w:p>
        </w:tc>
      </w:tr>
      <w:tr w:rsidR="0063033B" w14:paraId="449861A6" w14:textId="77777777" w:rsidTr="005A2883">
        <w:trPr>
          <w:trHeight w:val="433"/>
        </w:trPr>
        <w:tc>
          <w:tcPr>
            <w:tcW w:w="85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498619E" w14:textId="77777777" w:rsidR="005A2883" w:rsidRPr="005A2883" w:rsidRDefault="005A5D49" w:rsidP="005A2883">
            <w:pPr>
              <w:rPr>
                <w:rFonts w:cs="Arial"/>
                <w:b/>
                <w:bCs/>
                <w:color w:val="000000"/>
                <w:szCs w:val="22"/>
              </w:rPr>
            </w:pPr>
            <w:r w:rsidRPr="005A2883">
              <w:rPr>
                <w:rFonts w:cs="Arial"/>
                <w:b/>
                <w:bCs/>
                <w:color w:val="000000"/>
                <w:szCs w:val="22"/>
              </w:rPr>
              <w:t>R14</w:t>
            </w:r>
          </w:p>
          <w:p w14:paraId="4498619F" w14:textId="77777777" w:rsidR="005A2883" w:rsidRPr="005A2883" w:rsidRDefault="005A5D49" w:rsidP="005A2883">
            <w:pPr>
              <w:rPr>
                <w:rFonts w:cs="Arial"/>
                <w:color w:val="000000"/>
                <w:szCs w:val="22"/>
              </w:rPr>
            </w:pPr>
            <w:r w:rsidRPr="005A2883">
              <w:rPr>
                <w:rFonts w:cs="Arial"/>
                <w:color w:val="000000"/>
                <w:szCs w:val="22"/>
              </w:rPr>
              <w:t>Council performance</w:t>
            </w:r>
          </w:p>
        </w:tc>
        <w:tc>
          <w:tcPr>
            <w:tcW w:w="179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49861A0" w14:textId="77777777" w:rsidR="005A2883" w:rsidRPr="005A2883" w:rsidRDefault="005A5D49" w:rsidP="005A2883">
            <w:pPr>
              <w:rPr>
                <w:rFonts w:cs="Arial"/>
                <w:color w:val="000000"/>
                <w:szCs w:val="22"/>
              </w:rPr>
            </w:pPr>
            <w:r w:rsidRPr="005A2883">
              <w:rPr>
                <w:rFonts w:cs="Arial"/>
                <w:color w:val="000000"/>
                <w:szCs w:val="22"/>
              </w:rPr>
              <w:t xml:space="preserve">Failure to sustain performance of Corporate Strategy projects and general organisational performance </w:t>
            </w:r>
          </w:p>
        </w:tc>
        <w:tc>
          <w:tcPr>
            <w:tcW w:w="1123"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49861A1" w14:textId="77777777" w:rsidR="005A2883" w:rsidRPr="005A2883" w:rsidRDefault="005A5D49" w:rsidP="005A2883">
            <w:pPr>
              <w:rPr>
                <w:rFonts w:cs="Arial"/>
                <w:color w:val="000000"/>
                <w:szCs w:val="22"/>
              </w:rPr>
            </w:pPr>
            <w:r w:rsidRPr="005A2883">
              <w:rPr>
                <w:rFonts w:cs="Arial"/>
                <w:color w:val="000000"/>
                <w:szCs w:val="22"/>
              </w:rPr>
              <w:t>Shared Service Lead- Transformation and Partnerships</w:t>
            </w:r>
          </w:p>
        </w:tc>
        <w:tc>
          <w:tcPr>
            <w:tcW w:w="616" w:type="pct"/>
            <w:tcBorders>
              <w:top w:val="single" w:sz="4" w:space="0" w:color="auto"/>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A2"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A3" w14:textId="77777777" w:rsidR="005A2883" w:rsidRPr="005A2883" w:rsidRDefault="005A5D49" w:rsidP="005A2883">
            <w:pPr>
              <w:jc w:val="center"/>
              <w:rPr>
                <w:rFonts w:cs="Arial"/>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92D050"/>
            <w:tcMar>
              <w:top w:w="15" w:type="dxa"/>
              <w:left w:w="108" w:type="dxa"/>
              <w:bottom w:w="0" w:type="dxa"/>
              <w:right w:w="108" w:type="dxa"/>
            </w:tcMar>
            <w:hideMark/>
          </w:tcPr>
          <w:p w14:paraId="449861A4" w14:textId="77777777" w:rsidR="005A2883" w:rsidRPr="005A2883" w:rsidRDefault="005A5D49" w:rsidP="005A2883">
            <w:pPr>
              <w:jc w:val="center"/>
              <w:rPr>
                <w:rFonts w:cs="Arial"/>
                <w:b/>
                <w:bCs/>
                <w:color w:val="000000"/>
                <w:szCs w:val="22"/>
              </w:rPr>
            </w:pPr>
            <w:r w:rsidRPr="005A2883">
              <w:rPr>
                <w:rFonts w:cs="Arial"/>
                <w:b/>
                <w:bCs/>
                <w:color w:val="000000"/>
                <w:szCs w:val="22"/>
              </w:rPr>
              <w:t>4</w:t>
            </w:r>
          </w:p>
          <w:p w14:paraId="449861A5" w14:textId="77777777" w:rsidR="005A2883" w:rsidRPr="005A2883" w:rsidRDefault="005A5D49" w:rsidP="005A2883">
            <w:pPr>
              <w:jc w:val="center"/>
              <w:rPr>
                <w:rFonts w:cs="Arial"/>
                <w:color w:val="000000"/>
                <w:szCs w:val="22"/>
              </w:rPr>
            </w:pPr>
            <w:r w:rsidRPr="005A2883">
              <w:rPr>
                <w:rFonts w:cs="Arial"/>
                <w:color w:val="000000"/>
                <w:szCs w:val="22"/>
              </w:rPr>
              <w:t>(low)</w:t>
            </w:r>
          </w:p>
        </w:tc>
      </w:tr>
      <w:tr w:rsidR="0063033B" w14:paraId="449861AF" w14:textId="77777777" w:rsidTr="005A2883">
        <w:trPr>
          <w:trHeight w:val="1398"/>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A7" w14:textId="77777777" w:rsidR="005A2883" w:rsidRPr="005A2883" w:rsidRDefault="005A5D49" w:rsidP="005A2883">
            <w:pPr>
              <w:rPr>
                <w:rFonts w:cs="Arial"/>
                <w:b/>
                <w:bCs/>
                <w:color w:val="000000"/>
                <w:szCs w:val="22"/>
              </w:rPr>
            </w:pPr>
            <w:r w:rsidRPr="005A2883">
              <w:rPr>
                <w:rFonts w:cs="Arial"/>
                <w:b/>
                <w:bCs/>
                <w:color w:val="000000"/>
                <w:szCs w:val="22"/>
              </w:rPr>
              <w:t xml:space="preserve">R15 </w:t>
            </w:r>
          </w:p>
          <w:p w14:paraId="449861A8" w14:textId="77777777" w:rsidR="005A2883" w:rsidRPr="005A2883" w:rsidRDefault="005A5D49" w:rsidP="005A2883">
            <w:pPr>
              <w:rPr>
                <w:rFonts w:cs="Arial"/>
                <w:color w:val="000000"/>
                <w:szCs w:val="22"/>
              </w:rPr>
            </w:pPr>
            <w:r w:rsidRPr="005A2883">
              <w:rPr>
                <w:rFonts w:cs="Arial"/>
                <w:color w:val="000000"/>
                <w:szCs w:val="22"/>
              </w:rPr>
              <w:t xml:space="preserve">Data breach or action leading to complaints or ICO investigation </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A9" w14:textId="77777777" w:rsidR="005A2883" w:rsidRPr="005A2883" w:rsidRDefault="005A5D49" w:rsidP="005A2883">
            <w:pPr>
              <w:rPr>
                <w:rFonts w:cs="Arial"/>
                <w:color w:val="000000"/>
                <w:szCs w:val="22"/>
              </w:rPr>
            </w:pPr>
            <w:r w:rsidRPr="005A2883">
              <w:rPr>
                <w:rFonts w:cs="Arial"/>
                <w:color w:val="000000"/>
                <w:szCs w:val="22"/>
              </w:rPr>
              <w:t>Shared sys</w:t>
            </w:r>
            <w:r w:rsidRPr="005A2883">
              <w:rPr>
                <w:rFonts w:cs="Arial"/>
                <w:color w:val="000000"/>
                <w:szCs w:val="22"/>
              </w:rPr>
              <w:t>tem arrangements to facilitate South Ribble Together Hub (Covid) with Citizens Advice leading to poor service or data breach leading to financial penalty and reputational harm</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AA" w14:textId="77777777" w:rsidR="005A2883" w:rsidRPr="005A2883" w:rsidRDefault="005A5D49" w:rsidP="005A2883">
            <w:pPr>
              <w:rPr>
                <w:rFonts w:cs="Arial"/>
                <w:color w:val="000000"/>
                <w:szCs w:val="22"/>
              </w:rPr>
            </w:pPr>
            <w:r w:rsidRPr="005A2883">
              <w:rPr>
                <w:rFonts w:cs="Arial"/>
                <w:color w:val="000000"/>
                <w:szCs w:val="22"/>
              </w:rPr>
              <w:t xml:space="preserve">Director – Neighbourhoods and Developments </w:t>
            </w:r>
          </w:p>
        </w:tc>
        <w:tc>
          <w:tcPr>
            <w:tcW w:w="616" w:type="pct"/>
            <w:tcBorders>
              <w:top w:val="nil"/>
              <w:left w:val="single" w:sz="4" w:space="0" w:color="auto"/>
              <w:bottom w:val="single" w:sz="4" w:space="0" w:color="auto"/>
              <w:right w:val="single" w:sz="4" w:space="0" w:color="auto"/>
            </w:tcBorders>
            <w:shd w:val="clear" w:color="auto" w:fill="FF0000"/>
            <w:noWrap/>
            <w:tcMar>
              <w:top w:w="15" w:type="dxa"/>
              <w:left w:w="108" w:type="dxa"/>
              <w:bottom w:w="0" w:type="dxa"/>
              <w:right w:w="108" w:type="dxa"/>
            </w:tcMar>
            <w:hideMark/>
          </w:tcPr>
          <w:p w14:paraId="449861AB" w14:textId="77777777" w:rsidR="005A2883" w:rsidRPr="005A2883" w:rsidRDefault="005A5D49" w:rsidP="005A2883">
            <w:pPr>
              <w:jc w:val="center"/>
              <w:rPr>
                <w:rFonts w:cs="Arial"/>
                <w:b/>
                <w:bCs/>
                <w:color w:val="000000"/>
                <w:szCs w:val="22"/>
              </w:rPr>
            </w:pPr>
            <w:r w:rsidRPr="005A2883">
              <w:rPr>
                <w:rFonts w:cs="Arial"/>
                <w:b/>
                <w:bCs/>
                <w:color w:val="000000"/>
                <w:szCs w:val="22"/>
              </w:rPr>
              <w:t>12</w:t>
            </w:r>
          </w:p>
          <w:p w14:paraId="449861AC" w14:textId="77777777" w:rsidR="005A2883" w:rsidRPr="005A2883" w:rsidRDefault="005A5D49" w:rsidP="005A2883">
            <w:pPr>
              <w:jc w:val="center"/>
              <w:rPr>
                <w:rFonts w:cs="Arial"/>
                <w:color w:val="000000"/>
                <w:szCs w:val="22"/>
              </w:rPr>
            </w:pPr>
            <w:r w:rsidRPr="005A2883">
              <w:rPr>
                <w:rFonts w:cs="Arial"/>
                <w:color w:val="000000"/>
                <w:szCs w:val="22"/>
              </w:rPr>
              <w:t>(high)</w:t>
            </w:r>
          </w:p>
        </w:tc>
        <w:tc>
          <w:tcPr>
            <w:tcW w:w="612" w:type="pct"/>
            <w:tcBorders>
              <w:top w:val="single" w:sz="4" w:space="0" w:color="auto"/>
              <w:left w:val="single" w:sz="4" w:space="0" w:color="auto"/>
              <w:bottom w:val="single" w:sz="4" w:space="0" w:color="auto"/>
              <w:right w:val="single" w:sz="4" w:space="0" w:color="auto"/>
            </w:tcBorders>
            <w:shd w:val="clear" w:color="auto" w:fill="92D050"/>
            <w:tcMar>
              <w:top w:w="15" w:type="dxa"/>
              <w:left w:w="108" w:type="dxa"/>
              <w:bottom w:w="0" w:type="dxa"/>
              <w:right w:w="108" w:type="dxa"/>
            </w:tcMar>
            <w:hideMark/>
          </w:tcPr>
          <w:p w14:paraId="449861AD" w14:textId="77777777" w:rsidR="005A2883" w:rsidRPr="005A2883" w:rsidRDefault="005A5D49" w:rsidP="005A2883">
            <w:pPr>
              <w:jc w:val="center"/>
              <w:rPr>
                <w:rFonts w:cs="Arial"/>
                <w:b/>
                <w:bCs/>
                <w:color w:val="000000"/>
                <w:szCs w:val="22"/>
              </w:rPr>
            </w:pPr>
            <w:r w:rsidRPr="005A2883">
              <w:rPr>
                <w:rFonts w:cs="Arial"/>
                <w:b/>
                <w:bCs/>
                <w:color w:val="000000"/>
                <w:szCs w:val="22"/>
              </w:rPr>
              <w:t>4</w:t>
            </w:r>
          </w:p>
          <w:p w14:paraId="449861AE" w14:textId="77777777" w:rsidR="005A2883" w:rsidRPr="005A2883" w:rsidRDefault="005A5D49" w:rsidP="005A2883">
            <w:pPr>
              <w:jc w:val="center"/>
              <w:rPr>
                <w:rFonts w:cs="Arial"/>
                <w:color w:val="000000"/>
                <w:szCs w:val="22"/>
              </w:rPr>
            </w:pPr>
            <w:r w:rsidRPr="005A2883">
              <w:rPr>
                <w:rFonts w:cs="Arial"/>
                <w:color w:val="000000"/>
                <w:szCs w:val="22"/>
              </w:rPr>
              <w:t>(low)</w:t>
            </w:r>
          </w:p>
        </w:tc>
      </w:tr>
      <w:tr w:rsidR="0063033B" w14:paraId="449861B9" w14:textId="77777777" w:rsidTr="005A2883">
        <w:trPr>
          <w:trHeight w:val="576"/>
        </w:trPr>
        <w:tc>
          <w:tcPr>
            <w:tcW w:w="85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B0" w14:textId="77777777" w:rsidR="005A2883" w:rsidRPr="005A2883" w:rsidRDefault="005A5D49" w:rsidP="005A2883">
            <w:pPr>
              <w:rPr>
                <w:rFonts w:cs="Arial"/>
                <w:b/>
                <w:bCs/>
                <w:color w:val="000000"/>
                <w:szCs w:val="22"/>
              </w:rPr>
            </w:pPr>
            <w:r w:rsidRPr="005A2883">
              <w:rPr>
                <w:rFonts w:cs="Arial"/>
                <w:b/>
                <w:bCs/>
                <w:color w:val="000000"/>
                <w:szCs w:val="22"/>
              </w:rPr>
              <w:t>R16</w:t>
            </w:r>
          </w:p>
          <w:p w14:paraId="449861B1" w14:textId="77777777" w:rsidR="005A2883" w:rsidRPr="005A2883" w:rsidRDefault="005A5D49" w:rsidP="005A2883">
            <w:pPr>
              <w:rPr>
                <w:rFonts w:cs="Arial"/>
                <w:color w:val="000000"/>
                <w:szCs w:val="22"/>
              </w:rPr>
            </w:pPr>
            <w:r w:rsidRPr="005A2883">
              <w:rPr>
                <w:rFonts w:cs="Arial"/>
                <w:color w:val="000000"/>
                <w:szCs w:val="22"/>
              </w:rPr>
              <w:t>Brexit</w:t>
            </w:r>
          </w:p>
        </w:tc>
        <w:tc>
          <w:tcPr>
            <w:tcW w:w="1796" w:type="pct"/>
            <w:tcBorders>
              <w:top w:val="nil"/>
              <w:left w:val="single" w:sz="4" w:space="0" w:color="auto"/>
              <w:bottom w:val="single" w:sz="4" w:space="0" w:color="auto"/>
              <w:right w:val="single" w:sz="4" w:space="0" w:color="auto"/>
            </w:tcBorders>
            <w:tcMar>
              <w:top w:w="15" w:type="dxa"/>
              <w:left w:w="108" w:type="dxa"/>
              <w:bottom w:w="0" w:type="dxa"/>
              <w:right w:w="108" w:type="dxa"/>
            </w:tcMar>
          </w:tcPr>
          <w:p w14:paraId="449861B3" w14:textId="76FD6357" w:rsidR="005A2883" w:rsidRPr="005A2883" w:rsidRDefault="005A5D49" w:rsidP="005A2883">
            <w:pPr>
              <w:rPr>
                <w:rFonts w:cs="Arial"/>
                <w:color w:val="000000"/>
                <w:szCs w:val="22"/>
              </w:rPr>
            </w:pPr>
            <w:r w:rsidRPr="005A2883">
              <w:rPr>
                <w:rFonts w:cs="Arial"/>
                <w:color w:val="000000"/>
                <w:szCs w:val="22"/>
              </w:rPr>
              <w:t xml:space="preserve">Potential detrimental impact of Brexit upon service delivery </w:t>
            </w:r>
          </w:p>
        </w:tc>
        <w:tc>
          <w:tcPr>
            <w:tcW w:w="1123" w:type="pct"/>
            <w:tcBorders>
              <w:top w:val="nil"/>
              <w:left w:val="single" w:sz="4" w:space="0" w:color="auto"/>
              <w:bottom w:val="single" w:sz="4" w:space="0" w:color="auto"/>
              <w:right w:val="single" w:sz="4" w:space="0" w:color="auto"/>
            </w:tcBorders>
            <w:tcMar>
              <w:top w:w="15" w:type="dxa"/>
              <w:left w:w="108" w:type="dxa"/>
              <w:bottom w:w="0" w:type="dxa"/>
              <w:right w:w="108" w:type="dxa"/>
            </w:tcMar>
            <w:hideMark/>
          </w:tcPr>
          <w:p w14:paraId="449861B4" w14:textId="77777777" w:rsidR="005A2883" w:rsidRPr="005A2883" w:rsidRDefault="005A5D49" w:rsidP="005A2883">
            <w:pPr>
              <w:rPr>
                <w:rFonts w:cs="Arial"/>
                <w:color w:val="000000"/>
                <w:szCs w:val="22"/>
              </w:rPr>
            </w:pPr>
            <w:r w:rsidRPr="005A2883">
              <w:rPr>
                <w:rFonts w:cs="Arial"/>
                <w:color w:val="000000"/>
                <w:szCs w:val="22"/>
              </w:rPr>
              <w:t xml:space="preserve">Deputy Chief Executive </w:t>
            </w:r>
          </w:p>
        </w:tc>
        <w:tc>
          <w:tcPr>
            <w:tcW w:w="616" w:type="pct"/>
            <w:tcBorders>
              <w:top w:val="nil"/>
              <w:left w:val="single" w:sz="4" w:space="0" w:color="auto"/>
              <w:bottom w:val="single" w:sz="4" w:space="0" w:color="auto"/>
              <w:right w:val="single" w:sz="4" w:space="0" w:color="auto"/>
            </w:tcBorders>
            <w:shd w:val="clear" w:color="auto" w:fill="FFC000"/>
            <w:noWrap/>
            <w:tcMar>
              <w:top w:w="15" w:type="dxa"/>
              <w:left w:w="108" w:type="dxa"/>
              <w:bottom w:w="0" w:type="dxa"/>
              <w:right w:w="108" w:type="dxa"/>
            </w:tcMar>
            <w:hideMark/>
          </w:tcPr>
          <w:p w14:paraId="449861B5" w14:textId="77777777" w:rsidR="005A2883" w:rsidRPr="005A2883" w:rsidRDefault="005A5D49" w:rsidP="005A2883">
            <w:pPr>
              <w:jc w:val="center"/>
              <w:rPr>
                <w:rFonts w:cs="Arial"/>
                <w:b/>
                <w:bCs/>
                <w:color w:val="000000"/>
                <w:szCs w:val="22"/>
              </w:rPr>
            </w:pPr>
            <w:r w:rsidRPr="005A2883">
              <w:rPr>
                <w:rFonts w:cs="Arial"/>
                <w:b/>
                <w:bCs/>
                <w:color w:val="000000"/>
                <w:szCs w:val="22"/>
              </w:rPr>
              <w:t>9</w:t>
            </w:r>
          </w:p>
          <w:p w14:paraId="449861B6" w14:textId="77777777" w:rsidR="005A2883" w:rsidRPr="005A2883" w:rsidRDefault="005A5D49" w:rsidP="005A2883">
            <w:pPr>
              <w:jc w:val="center"/>
              <w:rPr>
                <w:rFonts w:cs="Arial"/>
                <w:color w:val="000000"/>
                <w:szCs w:val="22"/>
              </w:rPr>
            </w:pPr>
            <w:r w:rsidRPr="005A2883">
              <w:rPr>
                <w:rFonts w:cs="Arial"/>
                <w:color w:val="000000"/>
                <w:szCs w:val="22"/>
              </w:rPr>
              <w:t>(medium)</w:t>
            </w:r>
          </w:p>
        </w:tc>
        <w:tc>
          <w:tcPr>
            <w:tcW w:w="612" w:type="pct"/>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449861B7" w14:textId="77777777" w:rsidR="005A2883" w:rsidRPr="005A2883" w:rsidRDefault="005A5D49" w:rsidP="005A2883">
            <w:pPr>
              <w:jc w:val="center"/>
              <w:rPr>
                <w:rFonts w:cs="Arial"/>
                <w:b/>
                <w:bCs/>
                <w:color w:val="000000"/>
                <w:szCs w:val="22"/>
              </w:rPr>
            </w:pPr>
            <w:r w:rsidRPr="005A2883">
              <w:rPr>
                <w:rFonts w:cs="Arial"/>
                <w:b/>
                <w:bCs/>
                <w:color w:val="000000"/>
                <w:szCs w:val="22"/>
              </w:rPr>
              <w:t>8</w:t>
            </w:r>
          </w:p>
          <w:p w14:paraId="449861B8" w14:textId="77777777" w:rsidR="005A2883" w:rsidRPr="005A2883" w:rsidRDefault="005A5D49" w:rsidP="005A2883">
            <w:pPr>
              <w:jc w:val="center"/>
              <w:rPr>
                <w:rFonts w:cs="Arial"/>
                <w:color w:val="000000"/>
                <w:szCs w:val="22"/>
              </w:rPr>
            </w:pPr>
            <w:r w:rsidRPr="005A2883">
              <w:rPr>
                <w:rFonts w:cs="Arial"/>
                <w:color w:val="000000"/>
                <w:szCs w:val="22"/>
              </w:rPr>
              <w:t>(medium)</w:t>
            </w:r>
          </w:p>
        </w:tc>
      </w:tr>
    </w:tbl>
    <w:p w14:paraId="449861BA" w14:textId="77777777" w:rsidR="005A2883" w:rsidRPr="005A2883" w:rsidRDefault="005A5D49" w:rsidP="005A2883">
      <w:pPr>
        <w:tabs>
          <w:tab w:val="left" w:pos="567"/>
        </w:tabs>
        <w:rPr>
          <w:rFonts w:cs="Arial"/>
          <w:b/>
        </w:rPr>
      </w:pPr>
    </w:p>
    <w:p w14:paraId="449861BB"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Further details about each of these risks, residual and target scores and their mitigating controls and actions can be found within the </w:t>
      </w:r>
      <w:r w:rsidRPr="005A2883">
        <w:rPr>
          <w:rFonts w:eastAsia="Calibri" w:cs="Arial"/>
          <w:bCs/>
          <w:szCs w:val="22"/>
          <w:lang w:eastAsia="en-US"/>
        </w:rPr>
        <w:t>detailed risk register at Appendix 1.</w:t>
      </w:r>
    </w:p>
    <w:p w14:paraId="449861BC" w14:textId="77777777" w:rsidR="005A2883" w:rsidRPr="005A2883" w:rsidRDefault="005A5D49" w:rsidP="005A2883">
      <w:pPr>
        <w:tabs>
          <w:tab w:val="left" w:pos="567"/>
        </w:tabs>
        <w:rPr>
          <w:rFonts w:cs="Arial"/>
          <w:bCs/>
        </w:rPr>
      </w:pPr>
    </w:p>
    <w:p w14:paraId="449861BD"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 Eight risks (50%) have been scored as high (by their inherent risk) in the 2021 register. These risks primarily relate to delivering council priorities effectively, within budget and governance. Risks include financi</w:t>
      </w:r>
      <w:r w:rsidRPr="005A2883">
        <w:rPr>
          <w:rFonts w:eastAsia="Calibri" w:cs="Arial"/>
          <w:bCs/>
          <w:szCs w:val="22"/>
          <w:lang w:eastAsia="en-US"/>
        </w:rPr>
        <w:t>al sustainability and funding, consideration of external policy and compliance, partnership working and continuing to deliver council services effectively despite the impact of elements outside of council control.</w:t>
      </w:r>
    </w:p>
    <w:p w14:paraId="449861BE" w14:textId="77777777" w:rsidR="005A2883" w:rsidRPr="005A2883" w:rsidRDefault="005A5D49" w:rsidP="005A2883">
      <w:pPr>
        <w:spacing w:after="160" w:line="256" w:lineRule="auto"/>
        <w:ind w:left="720"/>
        <w:contextualSpacing/>
        <w:rPr>
          <w:rFonts w:eastAsia="Calibri" w:cs="Arial"/>
          <w:bCs/>
          <w:szCs w:val="22"/>
          <w:lang w:eastAsia="en-US"/>
        </w:rPr>
      </w:pPr>
    </w:p>
    <w:p w14:paraId="449861BF"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One of the highest rated risks to the cou</w:t>
      </w:r>
      <w:r w:rsidRPr="005A2883">
        <w:rPr>
          <w:rFonts w:eastAsia="Calibri" w:cs="Arial"/>
          <w:bCs/>
          <w:szCs w:val="22"/>
          <w:lang w:eastAsia="en-US"/>
        </w:rPr>
        <w:t>ncil for 2021 is R01 ‘the ability of the council to continue its service delivery being either halted or scaled back as a result of major incidents or emergencies such as cyber-attacks, pandemics’. This risk is rated highly due to the likelihood and impact</w:t>
      </w:r>
      <w:r w:rsidRPr="005A2883">
        <w:rPr>
          <w:rFonts w:eastAsia="Calibri" w:cs="Arial"/>
          <w:bCs/>
          <w:szCs w:val="22"/>
          <w:lang w:eastAsia="en-US"/>
        </w:rPr>
        <w:t xml:space="preserve"> of disruption to business continuity due to the ongoing COVID-19 pandemic. However, the controls we have in place to mitigate this risk as a council are strong and therefore the residual and target scores reduce significantly to medium. </w:t>
      </w:r>
    </w:p>
    <w:p w14:paraId="449861C0" w14:textId="77777777" w:rsidR="005A2883" w:rsidRPr="005A2883" w:rsidRDefault="005A5D49" w:rsidP="005A2883">
      <w:pPr>
        <w:tabs>
          <w:tab w:val="left" w:pos="567"/>
        </w:tabs>
        <w:spacing w:after="160" w:line="256" w:lineRule="auto"/>
        <w:ind w:left="720"/>
        <w:contextualSpacing/>
        <w:rPr>
          <w:rFonts w:eastAsia="Calibri" w:cs="Arial"/>
          <w:bCs/>
          <w:szCs w:val="22"/>
          <w:lang w:eastAsia="en-US"/>
        </w:rPr>
      </w:pPr>
    </w:p>
    <w:p w14:paraId="449861C1"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The maintenance </w:t>
      </w:r>
      <w:r w:rsidRPr="005A2883">
        <w:rPr>
          <w:rFonts w:eastAsia="Calibri" w:cs="Arial"/>
          <w:bCs/>
          <w:szCs w:val="22"/>
          <w:lang w:eastAsia="en-US"/>
        </w:rPr>
        <w:t>and success of key strategic partnerships are key to the Council meeting its key corporate priorities and aims. Risk R08 relates to the success of these partnerships and has been rated highly for 2021 given the Council’s reliance on them and specific issue</w:t>
      </w:r>
      <w:r w:rsidRPr="005A2883">
        <w:rPr>
          <w:rFonts w:eastAsia="Calibri" w:cs="Arial"/>
          <w:bCs/>
          <w:szCs w:val="22"/>
          <w:lang w:eastAsia="en-US"/>
        </w:rPr>
        <w:t>s relating to the City Deal. There remain strong partnerships in place with governance arrangements to manage relationships through mechanisms such as the South Ribble Partnership.</w:t>
      </w:r>
    </w:p>
    <w:p w14:paraId="449861C2" w14:textId="77777777" w:rsidR="005A2883" w:rsidRPr="005A2883" w:rsidRDefault="005A5D49" w:rsidP="005A2883">
      <w:pPr>
        <w:tabs>
          <w:tab w:val="left" w:pos="567"/>
        </w:tabs>
        <w:spacing w:after="160" w:line="256" w:lineRule="auto"/>
        <w:ind w:left="720"/>
        <w:contextualSpacing/>
        <w:rPr>
          <w:rFonts w:eastAsia="Calibri" w:cs="Arial"/>
          <w:bCs/>
          <w:szCs w:val="22"/>
          <w:lang w:eastAsia="en-US"/>
        </w:rPr>
      </w:pPr>
    </w:p>
    <w:p w14:paraId="449861C3"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As would be expected, COVID- 19 has had a significant impact on the consid</w:t>
      </w:r>
      <w:r w:rsidRPr="005A2883">
        <w:rPr>
          <w:rFonts w:eastAsia="Calibri" w:cs="Arial"/>
          <w:bCs/>
          <w:szCs w:val="22"/>
          <w:lang w:eastAsia="en-US"/>
        </w:rPr>
        <w:t>eration and scoring of some of the highest rated risks for 2021. Its impact (and potential unknown future impact) can be seen influencing several of the highest risks facing the council. This includes R03 ‘reduction in current funding streams including gov</w:t>
      </w:r>
      <w:r w:rsidRPr="005A2883">
        <w:rPr>
          <w:rFonts w:eastAsia="Calibri" w:cs="Arial"/>
          <w:bCs/>
          <w:szCs w:val="22"/>
          <w:lang w:eastAsia="en-US"/>
        </w:rPr>
        <w:t>ernment grant and key public sector and third-party partners. This risk has been rated highly due to the unknown impact of COVID-19 on future funding/income streams and potential impact on council income generation. It can also be seen against risk R09 ‘ag</w:t>
      </w:r>
      <w:r w:rsidRPr="005A2883">
        <w:rPr>
          <w:rFonts w:eastAsia="Calibri" w:cs="Arial"/>
          <w:bCs/>
          <w:szCs w:val="22"/>
          <w:lang w:eastAsia="en-US"/>
        </w:rPr>
        <w:t>ile services’ due to the likelihood of changing customer needs and environments during and post the pandemic. Strong actions are in place against this risk including effective business planning for 2021/22 and undertaking a survey to understand the changin</w:t>
      </w:r>
      <w:r w:rsidRPr="005A2883">
        <w:rPr>
          <w:rFonts w:eastAsia="Calibri" w:cs="Arial"/>
          <w:bCs/>
          <w:szCs w:val="22"/>
          <w:lang w:eastAsia="en-US"/>
        </w:rPr>
        <w:t xml:space="preserve">g needs of residents and therefore the target risk is low. </w:t>
      </w:r>
    </w:p>
    <w:p w14:paraId="449861C4" w14:textId="77777777" w:rsidR="005A2883" w:rsidRPr="005A2883" w:rsidRDefault="005A5D49" w:rsidP="005A2883">
      <w:pPr>
        <w:spacing w:after="160" w:line="256" w:lineRule="auto"/>
        <w:ind w:left="720"/>
        <w:contextualSpacing/>
        <w:rPr>
          <w:rFonts w:eastAsia="Calibri" w:cs="Arial"/>
          <w:bCs/>
          <w:szCs w:val="22"/>
          <w:lang w:eastAsia="en-US"/>
        </w:rPr>
      </w:pPr>
    </w:p>
    <w:p w14:paraId="449861C5"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Two of the highest rated risks facing the Council are financial.  These risks involve the management of capital funding and the capital programme (R04) and financial sustainability (R03). With re</w:t>
      </w:r>
      <w:r w:rsidRPr="005A2883">
        <w:rPr>
          <w:rFonts w:eastAsia="Calibri" w:cs="Arial"/>
          <w:bCs/>
          <w:szCs w:val="22"/>
          <w:lang w:eastAsia="en-US"/>
        </w:rPr>
        <w:t xml:space="preserve">gards to financial sustainability, this risk has been rated highly due to probability of reduction in current funding streams including Central Government grants, key public sector and third party partners following as a result of the COVID – 19  pandemic </w:t>
      </w:r>
      <w:r w:rsidRPr="005A2883">
        <w:rPr>
          <w:rFonts w:eastAsia="Calibri" w:cs="Arial"/>
          <w:bCs/>
          <w:szCs w:val="22"/>
          <w:lang w:eastAsia="en-US"/>
        </w:rPr>
        <w:t>in an environment where cuts where already ongoing. Risk RO4 involves the management of capital funding to deliver large scale improvements within the Corporate Plan. The Corporate Plan is a significant document which determines the direction of the counci</w:t>
      </w:r>
      <w:r w:rsidRPr="005A2883">
        <w:rPr>
          <w:rFonts w:eastAsia="Calibri" w:cs="Arial"/>
          <w:bCs/>
          <w:szCs w:val="22"/>
          <w:lang w:eastAsia="en-US"/>
        </w:rPr>
        <w:t>l and key projects to be delivered over the next three years and therefore the impact of any poor management of capital funding to deliver the plan would be high. Although both rated highly – strong, well established controls and monitoring are in place to</w:t>
      </w:r>
      <w:r w:rsidRPr="005A2883">
        <w:rPr>
          <w:rFonts w:eastAsia="Calibri" w:cs="Arial"/>
          <w:bCs/>
          <w:szCs w:val="22"/>
          <w:lang w:eastAsia="en-US"/>
        </w:rPr>
        <w:t xml:space="preserve"> manage both risks and therefore the residual and target risks are lower, at medium.</w:t>
      </w:r>
    </w:p>
    <w:p w14:paraId="449861C6" w14:textId="77777777" w:rsidR="005A2883" w:rsidRPr="005A2883" w:rsidRDefault="005A5D49" w:rsidP="005A2883">
      <w:pPr>
        <w:spacing w:after="160" w:line="256" w:lineRule="auto"/>
        <w:ind w:left="720"/>
        <w:contextualSpacing/>
        <w:rPr>
          <w:rFonts w:eastAsia="Calibri" w:cs="Arial"/>
          <w:bCs/>
          <w:szCs w:val="22"/>
          <w:lang w:eastAsia="en-US"/>
        </w:rPr>
      </w:pPr>
    </w:p>
    <w:p w14:paraId="449861C7"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Risk R05 and RO7 relate to external policy and legislation and the potential failure of the Council in complying with/ responding effectively to them. Risk R05 specifical</w:t>
      </w:r>
      <w:r w:rsidRPr="005A2883">
        <w:rPr>
          <w:rFonts w:eastAsia="Calibri" w:cs="Arial"/>
          <w:bCs/>
          <w:szCs w:val="22"/>
          <w:lang w:eastAsia="en-US"/>
        </w:rPr>
        <w:t xml:space="preserve">ly relates to policy change such as Brexit and GDPR and the risk should the council fail to comply with existing regulations (in the case of GDPR) or any new regulations arising (Brexit). There is </w:t>
      </w:r>
      <w:r w:rsidRPr="005A2883">
        <w:rPr>
          <w:rFonts w:eastAsia="Calibri" w:cs="Arial"/>
          <w:bCs/>
          <w:szCs w:val="22"/>
          <w:lang w:eastAsia="en-US"/>
        </w:rPr>
        <w:lastRenderedPageBreak/>
        <w:t>also a separate Brexit risk at R16 which is rated at a medi</w:t>
      </w:r>
      <w:r w:rsidRPr="005A2883">
        <w:rPr>
          <w:rFonts w:eastAsia="Calibri" w:cs="Arial"/>
          <w:bCs/>
          <w:szCs w:val="22"/>
          <w:lang w:eastAsia="en-US"/>
        </w:rPr>
        <w:t>um level due to the need for awareness of potential changes in council policies and procedure following Brexit.</w:t>
      </w:r>
    </w:p>
    <w:p w14:paraId="449861C8" w14:textId="77777777" w:rsidR="005A2883" w:rsidRPr="005A2883" w:rsidRDefault="005A5D49" w:rsidP="005A2883">
      <w:pPr>
        <w:tabs>
          <w:tab w:val="left" w:pos="567"/>
        </w:tabs>
        <w:spacing w:after="160" w:line="256" w:lineRule="auto"/>
        <w:ind w:left="720"/>
        <w:contextualSpacing/>
        <w:rPr>
          <w:rFonts w:eastAsia="Calibri" w:cs="Arial"/>
          <w:bCs/>
          <w:szCs w:val="22"/>
          <w:lang w:eastAsia="en-US"/>
        </w:rPr>
      </w:pPr>
    </w:p>
    <w:p w14:paraId="449861C9"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 xml:space="preserve"> Risk R07 is more data based and related to policy/ legislation surrounding GDPR and data protection and the Council’s compliance with it. Work</w:t>
      </w:r>
      <w:r w:rsidRPr="005A2883">
        <w:rPr>
          <w:rFonts w:eastAsia="Calibri" w:cs="Arial"/>
          <w:bCs/>
          <w:szCs w:val="22"/>
          <w:lang w:eastAsia="en-US"/>
        </w:rPr>
        <w:t xml:space="preserve"> is continuing around GDPR compliance however comprehensive actions are in place following the Council’s GDPR audit and therefore the target level of risk is low at 4, reflecting the level of risk the council is willing to accept following the completion o</w:t>
      </w:r>
      <w:r w:rsidRPr="005A2883">
        <w:rPr>
          <w:rFonts w:eastAsia="Calibri" w:cs="Arial"/>
          <w:bCs/>
          <w:szCs w:val="22"/>
          <w:lang w:eastAsia="en-US"/>
        </w:rPr>
        <w:t xml:space="preserve">f all actions and controls. </w:t>
      </w:r>
    </w:p>
    <w:p w14:paraId="449861CA" w14:textId="77777777" w:rsidR="005A2883" w:rsidRPr="005A2883" w:rsidRDefault="005A5D49" w:rsidP="005A2883">
      <w:pPr>
        <w:spacing w:after="160" w:line="256" w:lineRule="auto"/>
        <w:ind w:left="720"/>
        <w:contextualSpacing/>
        <w:rPr>
          <w:rFonts w:eastAsia="Calibri" w:cs="Arial"/>
          <w:bCs/>
          <w:szCs w:val="22"/>
          <w:lang w:eastAsia="en-US"/>
        </w:rPr>
      </w:pPr>
    </w:p>
    <w:p w14:paraId="449861CB"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Eight risks (53%) are rated at a medium level for 2021. These risks are around internal governance, political relationships, shared services, staff satisfaction and the Council’s reputation. The medium rating of these risks re</w:t>
      </w:r>
      <w:r w:rsidRPr="005A2883">
        <w:rPr>
          <w:rFonts w:eastAsia="Calibri" w:cs="Arial"/>
          <w:bCs/>
          <w:szCs w:val="22"/>
          <w:lang w:eastAsia="en-US"/>
        </w:rPr>
        <w:t xml:space="preserve">flects the work that has been undertaken over the last 18 months as part of improvements to the Council’s governance processes and internal structures, as well as the successful completion of phase one of shared services and agreement to progress to phase </w:t>
      </w:r>
      <w:r w:rsidRPr="005A2883">
        <w:rPr>
          <w:rFonts w:eastAsia="Calibri" w:cs="Arial"/>
          <w:bCs/>
          <w:szCs w:val="22"/>
          <w:lang w:eastAsia="en-US"/>
        </w:rPr>
        <w:t xml:space="preserve">two. Staff have continued to be supported, through the difficult circumstances of the COVID – 19 pandemic and the last staff satisfaction survey (pre-COVID) showed satisfaction was 78%. </w:t>
      </w:r>
    </w:p>
    <w:p w14:paraId="449861CC" w14:textId="77777777" w:rsidR="005A2883" w:rsidRPr="005A2883" w:rsidRDefault="005A5D49" w:rsidP="005A2883">
      <w:pPr>
        <w:spacing w:after="160" w:line="256" w:lineRule="auto"/>
        <w:ind w:left="720"/>
        <w:contextualSpacing/>
        <w:rPr>
          <w:rFonts w:eastAsia="Calibri" w:cs="Arial"/>
          <w:bCs/>
          <w:szCs w:val="22"/>
          <w:highlight w:val="yellow"/>
          <w:lang w:eastAsia="en-US"/>
        </w:rPr>
      </w:pPr>
    </w:p>
    <w:p w14:paraId="449861CD"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The significance of these risks and their potential impact on the co</w:t>
      </w:r>
      <w:r w:rsidRPr="005A2883">
        <w:rPr>
          <w:rFonts w:eastAsia="Calibri" w:cs="Arial"/>
          <w:bCs/>
          <w:szCs w:val="22"/>
          <w:lang w:eastAsia="en-US"/>
        </w:rPr>
        <w:t>uncil remains however</w:t>
      </w:r>
      <w:r>
        <w:rPr>
          <w:rFonts w:eastAsia="Calibri" w:cs="Arial"/>
          <w:bCs/>
          <w:szCs w:val="22"/>
          <w:lang w:eastAsia="en-US"/>
        </w:rPr>
        <w:t>,</w:t>
      </w:r>
      <w:r w:rsidRPr="005A2883">
        <w:rPr>
          <w:rFonts w:eastAsia="Calibri" w:cs="Arial"/>
          <w:bCs/>
          <w:szCs w:val="22"/>
          <w:lang w:eastAsia="en-US"/>
        </w:rPr>
        <w:t xml:space="preserve"> and therefore they are rated at a medium level for 2021 along with existing controls already in place and any further actions to be undertaken to mitigate these risks. </w:t>
      </w:r>
    </w:p>
    <w:p w14:paraId="449861CE" w14:textId="77777777" w:rsidR="005A2883" w:rsidRPr="005A2883" w:rsidRDefault="005A5D49" w:rsidP="005A2883">
      <w:pPr>
        <w:tabs>
          <w:tab w:val="left" w:pos="567"/>
        </w:tabs>
        <w:spacing w:after="160" w:line="256" w:lineRule="auto"/>
        <w:ind w:left="720"/>
        <w:contextualSpacing/>
        <w:rPr>
          <w:rFonts w:eastAsia="Calibri" w:cs="Arial"/>
          <w:bCs/>
          <w:szCs w:val="22"/>
          <w:lang w:eastAsia="en-US"/>
        </w:rPr>
      </w:pPr>
    </w:p>
    <w:p w14:paraId="449861CF"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Risk R02 ‘corporate governance failure’ is rated as a medium th</w:t>
      </w:r>
      <w:r w:rsidRPr="005A2883">
        <w:rPr>
          <w:rFonts w:eastAsia="Calibri" w:cs="Arial"/>
          <w:bCs/>
          <w:szCs w:val="22"/>
          <w:lang w:eastAsia="en-US"/>
        </w:rPr>
        <w:t>is year. The risk is around failure to implement and maintain the corporate governance framework action plan leading to continued fundamental weaknesses in internal controls. The risk has been classed as medium due to significant learning following previou</w:t>
      </w:r>
      <w:r w:rsidRPr="005A2883">
        <w:rPr>
          <w:rFonts w:eastAsia="Calibri" w:cs="Arial"/>
          <w:bCs/>
          <w:szCs w:val="22"/>
          <w:lang w:eastAsia="en-US"/>
        </w:rPr>
        <w:t>s governance failures and the strong actions and controls that have therefore been put in place and are being delivered through the Annual Governance Statement action plan. Several actions to be delivered will contribute towards effective corporate governa</w:t>
      </w:r>
      <w:r w:rsidRPr="005A2883">
        <w:rPr>
          <w:rFonts w:eastAsia="Calibri" w:cs="Arial"/>
          <w:bCs/>
          <w:szCs w:val="22"/>
          <w:lang w:eastAsia="en-US"/>
        </w:rPr>
        <w:t xml:space="preserve">nce, meaning the target risk is low and rated 4 (green). </w:t>
      </w:r>
    </w:p>
    <w:p w14:paraId="449861D0" w14:textId="77777777" w:rsidR="005A2883" w:rsidRPr="005A2883" w:rsidRDefault="005A5D49" w:rsidP="005A2883">
      <w:pPr>
        <w:spacing w:after="160" w:line="256" w:lineRule="auto"/>
        <w:ind w:left="720"/>
        <w:contextualSpacing/>
        <w:rPr>
          <w:rFonts w:eastAsia="Calibri" w:cs="Arial"/>
          <w:bCs/>
          <w:szCs w:val="22"/>
          <w:lang w:eastAsia="en-US"/>
        </w:rPr>
      </w:pPr>
    </w:p>
    <w:p w14:paraId="449861D1" w14:textId="77777777" w:rsidR="005A2883" w:rsidRPr="005A2883" w:rsidRDefault="005A5D49" w:rsidP="005A2883">
      <w:pPr>
        <w:numPr>
          <w:ilvl w:val="0"/>
          <w:numId w:val="20"/>
        </w:numPr>
        <w:tabs>
          <w:tab w:val="left" w:pos="567"/>
        </w:tabs>
        <w:spacing w:after="160" w:line="256" w:lineRule="auto"/>
        <w:contextualSpacing/>
        <w:rPr>
          <w:rFonts w:eastAsia="Calibri" w:cs="Arial"/>
          <w:bCs/>
          <w:szCs w:val="22"/>
          <w:lang w:eastAsia="en-US"/>
        </w:rPr>
      </w:pPr>
      <w:r w:rsidRPr="005A2883">
        <w:rPr>
          <w:rFonts w:eastAsia="Calibri" w:cs="Arial"/>
          <w:bCs/>
          <w:szCs w:val="22"/>
          <w:lang w:eastAsia="en-US"/>
        </w:rPr>
        <w:t>Risk R15 is related to the establishment of South Ribble</w:t>
      </w:r>
      <w:r w:rsidRPr="005A2883">
        <w:rPr>
          <w:rFonts w:eastAsia="Calibri" w:cs="Arial"/>
          <w:bCs/>
          <w:szCs w:val="22"/>
          <w:lang w:eastAsia="en-US"/>
        </w:rPr>
        <w:t xml:space="preserve"> Together Hub and the development of a triage and referral service being delivered with support from Citizens advice. The risk directly relates to potential for data breaches and implications of enforcement by the Information Commissioner.  Several mitigat</w:t>
      </w:r>
      <w:r w:rsidRPr="005A2883">
        <w:rPr>
          <w:rFonts w:eastAsia="Calibri" w:cs="Arial"/>
          <w:bCs/>
          <w:szCs w:val="22"/>
          <w:lang w:eastAsia="en-US"/>
        </w:rPr>
        <w:t xml:space="preserve">ing actions and controls are in place that have moved the risk from high to low. Progress will be continually monitored and regular management meetings of the service is overseen through the Community Development Team Manager. </w:t>
      </w:r>
    </w:p>
    <w:p w14:paraId="449861D2" w14:textId="77777777" w:rsidR="005A2883" w:rsidRPr="005A2883" w:rsidRDefault="005A5D49" w:rsidP="005A2883">
      <w:pPr>
        <w:tabs>
          <w:tab w:val="left" w:pos="567"/>
        </w:tabs>
        <w:rPr>
          <w:rFonts w:cs="Arial"/>
          <w:b/>
        </w:rPr>
      </w:pPr>
    </w:p>
    <w:p w14:paraId="449861D3" w14:textId="77777777" w:rsidR="005A2883" w:rsidRPr="005A2883" w:rsidRDefault="005A5D49" w:rsidP="005A2883">
      <w:pPr>
        <w:tabs>
          <w:tab w:val="left" w:pos="567"/>
        </w:tabs>
        <w:rPr>
          <w:rFonts w:cs="Arial"/>
          <w:b/>
        </w:rPr>
      </w:pPr>
      <w:r w:rsidRPr="005A2883">
        <w:rPr>
          <w:rFonts w:cs="Arial"/>
          <w:b/>
        </w:rPr>
        <w:t xml:space="preserve">RISK </w:t>
      </w:r>
    </w:p>
    <w:p w14:paraId="449861D4" w14:textId="77777777" w:rsidR="005A2883" w:rsidRPr="005A2883" w:rsidRDefault="005A5D49" w:rsidP="005A2883">
      <w:pPr>
        <w:tabs>
          <w:tab w:val="left" w:pos="567"/>
        </w:tabs>
        <w:rPr>
          <w:rFonts w:cs="Arial"/>
          <w:b/>
        </w:rPr>
      </w:pPr>
    </w:p>
    <w:p w14:paraId="449861D5" w14:textId="77777777" w:rsidR="005A2883" w:rsidRPr="005A2883" w:rsidRDefault="005A5D49" w:rsidP="005A2883">
      <w:pPr>
        <w:numPr>
          <w:ilvl w:val="0"/>
          <w:numId w:val="20"/>
        </w:numPr>
        <w:tabs>
          <w:tab w:val="left" w:pos="567"/>
        </w:tabs>
        <w:spacing w:after="160" w:line="256" w:lineRule="auto"/>
        <w:contextualSpacing/>
        <w:rPr>
          <w:rFonts w:eastAsia="Calibri" w:cs="Arial"/>
          <w:b/>
          <w:iCs/>
          <w:szCs w:val="22"/>
          <w:lang w:eastAsia="en-US"/>
        </w:rPr>
      </w:pPr>
      <w:r w:rsidRPr="005A2883">
        <w:rPr>
          <w:rFonts w:eastAsia="Calibri" w:cs="Arial"/>
          <w:iCs/>
          <w:szCs w:val="22"/>
          <w:lang w:eastAsia="en-US"/>
        </w:rPr>
        <w:t>N/A</w:t>
      </w:r>
    </w:p>
    <w:p w14:paraId="449861D6" w14:textId="77777777" w:rsidR="005A2883" w:rsidRPr="005A2883" w:rsidRDefault="005A5D49" w:rsidP="005A2883">
      <w:pPr>
        <w:tabs>
          <w:tab w:val="left" w:pos="567"/>
        </w:tabs>
        <w:rPr>
          <w:rFonts w:cs="Arial"/>
          <w:b/>
        </w:rPr>
      </w:pPr>
    </w:p>
    <w:p w14:paraId="449861D7" w14:textId="77777777" w:rsidR="005A2883" w:rsidRPr="005A2883" w:rsidRDefault="005A5D49" w:rsidP="005A2883">
      <w:pPr>
        <w:tabs>
          <w:tab w:val="left" w:pos="567"/>
        </w:tabs>
        <w:rPr>
          <w:rFonts w:cs="Arial"/>
          <w:b/>
        </w:rPr>
      </w:pPr>
      <w:r w:rsidRPr="005A2883">
        <w:rPr>
          <w:rFonts w:cs="Arial"/>
          <w:b/>
        </w:rPr>
        <w:t>EQUALITY</w:t>
      </w:r>
    </w:p>
    <w:p w14:paraId="449861D8" w14:textId="77777777" w:rsidR="005A2883" w:rsidRPr="005A2883" w:rsidRDefault="005A5D49" w:rsidP="005A2883">
      <w:pPr>
        <w:tabs>
          <w:tab w:val="left" w:pos="567"/>
        </w:tabs>
        <w:rPr>
          <w:rFonts w:cs="Arial"/>
          <w:b/>
        </w:rPr>
      </w:pPr>
    </w:p>
    <w:p w14:paraId="449861D9" w14:textId="77777777" w:rsidR="005A2883" w:rsidRPr="005A2883" w:rsidRDefault="005A5D49" w:rsidP="005A2883">
      <w:pPr>
        <w:numPr>
          <w:ilvl w:val="0"/>
          <w:numId w:val="20"/>
        </w:numPr>
        <w:tabs>
          <w:tab w:val="left" w:pos="567"/>
        </w:tabs>
        <w:spacing w:after="160" w:line="256" w:lineRule="auto"/>
        <w:contextualSpacing/>
        <w:rPr>
          <w:rFonts w:eastAsia="Calibri" w:cs="Arial"/>
          <w:b/>
          <w:iCs/>
          <w:szCs w:val="22"/>
          <w:lang w:eastAsia="en-US"/>
        </w:rPr>
      </w:pPr>
      <w:r w:rsidRPr="005A2883">
        <w:rPr>
          <w:rFonts w:eastAsia="Calibri" w:cs="Arial"/>
          <w:iCs/>
          <w:szCs w:val="22"/>
          <w:lang w:eastAsia="en-US"/>
        </w:rPr>
        <w:t>N/A</w:t>
      </w:r>
    </w:p>
    <w:p w14:paraId="449861DA" w14:textId="77777777" w:rsidR="005A2883" w:rsidRPr="005A2883" w:rsidRDefault="005A5D49" w:rsidP="005A2883">
      <w:pPr>
        <w:tabs>
          <w:tab w:val="left" w:pos="567"/>
        </w:tabs>
        <w:spacing w:after="160" w:line="256" w:lineRule="auto"/>
        <w:ind w:left="720"/>
        <w:contextualSpacing/>
        <w:rPr>
          <w:rFonts w:eastAsia="Calibri" w:cs="Arial"/>
          <w:b/>
          <w:szCs w:val="22"/>
          <w:lang w:eastAsia="en-US"/>
        </w:rPr>
      </w:pPr>
    </w:p>
    <w:p w14:paraId="449861DB" w14:textId="77777777" w:rsidR="005A2883" w:rsidRPr="005A2883" w:rsidRDefault="005A5D49" w:rsidP="005A2883">
      <w:pPr>
        <w:tabs>
          <w:tab w:val="left" w:pos="567"/>
        </w:tabs>
        <w:ind w:left="567" w:hanging="567"/>
        <w:rPr>
          <w:rFonts w:cs="Arial"/>
          <w:b/>
          <w:caps/>
        </w:rPr>
      </w:pPr>
      <w:r w:rsidRPr="005A2883">
        <w:rPr>
          <w:rFonts w:cs="Arial"/>
          <w:b/>
          <w:caps/>
        </w:rPr>
        <w:t xml:space="preserve">AIR QUALITY IMPLICATIONS </w:t>
      </w:r>
    </w:p>
    <w:p w14:paraId="449861DC" w14:textId="77777777" w:rsidR="005A2883" w:rsidRPr="005A2883" w:rsidRDefault="005A5D49" w:rsidP="005A2883">
      <w:pPr>
        <w:tabs>
          <w:tab w:val="left" w:pos="567"/>
        </w:tabs>
        <w:ind w:left="567" w:hanging="567"/>
        <w:rPr>
          <w:rFonts w:cs="Arial"/>
          <w:b/>
          <w:caps/>
        </w:rPr>
      </w:pPr>
    </w:p>
    <w:p w14:paraId="449861DD" w14:textId="71D8E754" w:rsidR="005A2883" w:rsidRPr="005A5D49" w:rsidRDefault="00A92BE2" w:rsidP="005A5D49">
      <w:pPr>
        <w:numPr>
          <w:ilvl w:val="0"/>
          <w:numId w:val="20"/>
        </w:numPr>
        <w:tabs>
          <w:tab w:val="left" w:pos="567"/>
        </w:tabs>
        <w:spacing w:after="160" w:line="256" w:lineRule="auto"/>
        <w:contextualSpacing/>
        <w:rPr>
          <w:rFonts w:eastAsia="Calibri" w:cs="Arial"/>
          <w:b/>
          <w:iCs/>
          <w:caps/>
          <w:szCs w:val="22"/>
          <w:lang w:eastAsia="en-US"/>
        </w:rPr>
      </w:pPr>
      <w:r w:rsidRPr="00A92BE2">
        <w:rPr>
          <w:rFonts w:eastAsia="Calibri" w:cs="Arial"/>
          <w:iCs/>
          <w:szCs w:val="22"/>
          <w:lang w:eastAsia="en-US"/>
        </w:rPr>
        <w:t xml:space="preserve">There are no direct air quality implications from </w:t>
      </w:r>
      <w:r w:rsidR="005A5D49">
        <w:rPr>
          <w:rFonts w:eastAsia="Calibri" w:cs="Arial"/>
          <w:iCs/>
          <w:szCs w:val="22"/>
          <w:lang w:eastAsia="en-US"/>
        </w:rPr>
        <w:t>this</w:t>
      </w:r>
      <w:r w:rsidR="005A5D49" w:rsidRPr="00A92BE2">
        <w:rPr>
          <w:rFonts w:eastAsia="Calibri" w:cs="Arial"/>
          <w:iCs/>
          <w:szCs w:val="22"/>
          <w:lang w:eastAsia="en-US"/>
        </w:rPr>
        <w:t xml:space="preserve"> </w:t>
      </w:r>
      <w:r w:rsidRPr="00A92BE2">
        <w:rPr>
          <w:rFonts w:eastAsia="Calibri" w:cs="Arial"/>
          <w:iCs/>
          <w:szCs w:val="22"/>
          <w:lang w:eastAsia="en-US"/>
        </w:rPr>
        <w:t xml:space="preserve">report. </w:t>
      </w:r>
      <w:r w:rsidR="005A5D49">
        <w:rPr>
          <w:rFonts w:eastAsia="Calibri" w:cs="Arial"/>
          <w:iCs/>
          <w:szCs w:val="22"/>
          <w:lang w:eastAsia="en-US"/>
        </w:rPr>
        <w:t>A</w:t>
      </w:r>
      <w:r w:rsidRPr="00A92BE2">
        <w:rPr>
          <w:rFonts w:eastAsia="Calibri" w:cs="Arial"/>
          <w:iCs/>
          <w:szCs w:val="22"/>
          <w:lang w:eastAsia="en-US"/>
        </w:rPr>
        <w:t xml:space="preserve">ir quality </w:t>
      </w:r>
      <w:r w:rsidR="005A5D49">
        <w:rPr>
          <w:rFonts w:eastAsia="Calibri" w:cs="Arial"/>
          <w:iCs/>
          <w:szCs w:val="22"/>
          <w:lang w:eastAsia="en-US"/>
        </w:rPr>
        <w:t xml:space="preserve">will </w:t>
      </w:r>
      <w:r w:rsidRPr="00A92BE2">
        <w:rPr>
          <w:rFonts w:eastAsia="Calibri" w:cs="Arial"/>
          <w:iCs/>
          <w:szCs w:val="22"/>
          <w:lang w:eastAsia="en-US"/>
        </w:rPr>
        <w:t>be considered for any actions</w:t>
      </w:r>
      <w:r w:rsidR="005A5D49">
        <w:rPr>
          <w:rFonts w:eastAsia="Calibri" w:cs="Arial"/>
          <w:iCs/>
          <w:szCs w:val="22"/>
          <w:lang w:eastAsia="en-US"/>
        </w:rPr>
        <w:t xml:space="preserve"> which are relevant</w:t>
      </w:r>
      <w:r w:rsidRPr="00A92BE2">
        <w:rPr>
          <w:rFonts w:eastAsia="Calibri" w:cs="Arial"/>
          <w:iCs/>
          <w:szCs w:val="22"/>
          <w:lang w:eastAsia="en-US"/>
        </w:rPr>
        <w:t xml:space="preserve"> to </w:t>
      </w:r>
      <w:r w:rsidR="005A5D49">
        <w:rPr>
          <w:rFonts w:eastAsia="Calibri" w:cs="Arial"/>
          <w:iCs/>
          <w:szCs w:val="22"/>
          <w:lang w:eastAsia="en-US"/>
        </w:rPr>
        <w:t>mitigate</w:t>
      </w:r>
      <w:r w:rsidRPr="00A92BE2">
        <w:rPr>
          <w:rFonts w:eastAsia="Calibri" w:cs="Arial"/>
          <w:iCs/>
          <w:szCs w:val="22"/>
          <w:lang w:eastAsia="en-US"/>
        </w:rPr>
        <w:t xml:space="preserve"> identified risks.</w:t>
      </w:r>
    </w:p>
    <w:p w14:paraId="292F82EB" w14:textId="1EBE3F86" w:rsidR="005A5D49" w:rsidRDefault="005A5D49" w:rsidP="005A5D49">
      <w:pPr>
        <w:tabs>
          <w:tab w:val="left" w:pos="567"/>
        </w:tabs>
        <w:spacing w:after="160" w:line="256" w:lineRule="auto"/>
        <w:contextualSpacing/>
        <w:rPr>
          <w:rFonts w:eastAsia="Calibri" w:cs="Arial"/>
          <w:iCs/>
          <w:szCs w:val="22"/>
          <w:lang w:eastAsia="en-US"/>
        </w:rPr>
      </w:pPr>
    </w:p>
    <w:p w14:paraId="0397BC78" w14:textId="77777777" w:rsidR="005A5D49" w:rsidRPr="005A2883" w:rsidRDefault="005A5D49" w:rsidP="005A5D49">
      <w:pPr>
        <w:tabs>
          <w:tab w:val="left" w:pos="567"/>
        </w:tabs>
        <w:spacing w:after="160" w:line="256" w:lineRule="auto"/>
        <w:contextualSpacing/>
        <w:rPr>
          <w:rFonts w:eastAsia="Calibri" w:cs="Arial"/>
          <w:b/>
          <w:iCs/>
          <w:caps/>
          <w:szCs w:val="22"/>
          <w:lang w:eastAsia="en-US"/>
        </w:rPr>
      </w:pPr>
      <w:bookmarkStart w:id="0" w:name="_GoBack"/>
      <w:bookmarkEnd w:id="0"/>
    </w:p>
    <w:p w14:paraId="449861DE" w14:textId="77777777" w:rsidR="005A2883" w:rsidRPr="005A2883" w:rsidRDefault="005A5D49" w:rsidP="005A2883">
      <w:pPr>
        <w:tabs>
          <w:tab w:val="left" w:pos="567"/>
        </w:tabs>
        <w:ind w:left="567" w:hanging="567"/>
        <w:rPr>
          <w:rFonts w:cs="Arial"/>
          <w:b/>
          <w:caps/>
          <w:highlight w:val="yellow"/>
        </w:rPr>
      </w:pPr>
    </w:p>
    <w:p w14:paraId="449861E0" w14:textId="504CC55D" w:rsidR="005A2883" w:rsidRDefault="005A5D49" w:rsidP="005A2883">
      <w:pPr>
        <w:tabs>
          <w:tab w:val="left" w:pos="567"/>
        </w:tabs>
        <w:ind w:left="567" w:hanging="567"/>
        <w:rPr>
          <w:rFonts w:cs="Arial"/>
          <w:b/>
        </w:rPr>
      </w:pPr>
      <w:r w:rsidRPr="008D42A2">
        <w:rPr>
          <w:rFonts w:cs="Arial"/>
          <w:b/>
        </w:rPr>
        <w:lastRenderedPageBreak/>
        <w:t>COMMENTS OF THE STATUTORY FINANCE OFFICER</w:t>
      </w:r>
    </w:p>
    <w:p w14:paraId="2C3C7141" w14:textId="77777777" w:rsidR="00A92BE2" w:rsidRPr="008D42A2" w:rsidRDefault="00A92BE2" w:rsidP="005A2883">
      <w:pPr>
        <w:tabs>
          <w:tab w:val="left" w:pos="567"/>
        </w:tabs>
        <w:ind w:left="567" w:hanging="567"/>
        <w:rPr>
          <w:rFonts w:cs="Arial"/>
          <w:b/>
        </w:rPr>
      </w:pPr>
    </w:p>
    <w:p w14:paraId="449861E3" w14:textId="3345579F" w:rsidR="005A2883" w:rsidRPr="00A92BE2" w:rsidRDefault="008D42A2" w:rsidP="00A92BE2">
      <w:pPr>
        <w:pStyle w:val="ListParagraph"/>
        <w:numPr>
          <w:ilvl w:val="0"/>
          <w:numId w:val="20"/>
        </w:numPr>
        <w:rPr>
          <w:b/>
        </w:rPr>
      </w:pPr>
      <w:r w:rsidRPr="00A92BE2">
        <w:rPr>
          <w:rFonts w:cs="Arial"/>
          <w:bCs/>
          <w:iCs/>
        </w:rPr>
        <w:t>The strategic risk register plays an important role in the council's internal control environment and so it is important it is regularly reviewed. The implementation of the controls and actions identified do not have any new financial implications.</w:t>
      </w:r>
    </w:p>
    <w:p w14:paraId="449861E4" w14:textId="77777777" w:rsidR="005A2883" w:rsidRPr="00D03553" w:rsidRDefault="005A5D49" w:rsidP="005A2883">
      <w:pPr>
        <w:tabs>
          <w:tab w:val="left" w:pos="567"/>
        </w:tabs>
        <w:ind w:left="567" w:hanging="567"/>
        <w:rPr>
          <w:rFonts w:cs="Arial"/>
          <w:b/>
        </w:rPr>
      </w:pPr>
      <w:r w:rsidRPr="00D03553">
        <w:rPr>
          <w:rFonts w:cs="Arial"/>
          <w:b/>
        </w:rPr>
        <w:t>C</w:t>
      </w:r>
      <w:r w:rsidRPr="00D03553">
        <w:rPr>
          <w:rFonts w:cs="Arial"/>
          <w:b/>
        </w:rPr>
        <w:t>OMMENTS OF THE MONITORING OFFICER</w:t>
      </w:r>
    </w:p>
    <w:p w14:paraId="449861E5" w14:textId="77777777" w:rsidR="005A2883" w:rsidRPr="00D03553" w:rsidRDefault="005A5D49" w:rsidP="005A2883">
      <w:pPr>
        <w:tabs>
          <w:tab w:val="left" w:pos="567"/>
        </w:tabs>
        <w:ind w:left="567" w:hanging="567"/>
        <w:rPr>
          <w:rFonts w:cs="Arial"/>
          <w:b/>
        </w:rPr>
      </w:pPr>
    </w:p>
    <w:p w14:paraId="449861E6" w14:textId="77777777" w:rsidR="005A2883" w:rsidRPr="00D03553" w:rsidRDefault="005A5D49" w:rsidP="005A2883">
      <w:pPr>
        <w:numPr>
          <w:ilvl w:val="0"/>
          <w:numId w:val="20"/>
        </w:numPr>
        <w:tabs>
          <w:tab w:val="left" w:pos="567"/>
        </w:tabs>
        <w:spacing w:after="160" w:line="256" w:lineRule="auto"/>
        <w:contextualSpacing/>
        <w:rPr>
          <w:rFonts w:eastAsia="Calibri" w:cs="Arial"/>
          <w:b/>
          <w:szCs w:val="22"/>
          <w:lang w:eastAsia="en-US"/>
        </w:rPr>
      </w:pPr>
      <w:r w:rsidRPr="00D03553">
        <w:rPr>
          <w:rFonts w:eastAsia="Calibri" w:cs="Arial"/>
          <w:szCs w:val="22"/>
          <w:lang w:eastAsia="en-US"/>
        </w:rPr>
        <w:t xml:space="preserve">Clearly having a detailed and comprehensive Strategic Risk Register is important from the point of view of having robust governance arrangements in place. It demonstrates that the council has directed its mind to the principal risks facing it and how best </w:t>
      </w:r>
      <w:r w:rsidRPr="00D03553">
        <w:rPr>
          <w:rFonts w:eastAsia="Calibri" w:cs="Arial"/>
          <w:szCs w:val="22"/>
          <w:lang w:eastAsia="en-US"/>
        </w:rPr>
        <w:t xml:space="preserve">to mitigate them. There are no concerns from a </w:t>
      </w:r>
      <w:r>
        <w:rPr>
          <w:rFonts w:eastAsia="Calibri" w:cs="Arial"/>
          <w:szCs w:val="22"/>
          <w:lang w:eastAsia="en-US"/>
        </w:rPr>
        <w:t>M</w:t>
      </w:r>
      <w:r w:rsidRPr="00D03553">
        <w:rPr>
          <w:rFonts w:eastAsia="Calibri" w:cs="Arial"/>
          <w:szCs w:val="22"/>
          <w:lang w:eastAsia="en-US"/>
        </w:rPr>
        <w:t>onitoring Officer perspective with what is proposed here.</w:t>
      </w:r>
    </w:p>
    <w:p w14:paraId="449861E7" w14:textId="77777777" w:rsidR="005A2883" w:rsidRPr="005A2883" w:rsidRDefault="005A5D49" w:rsidP="005A2883">
      <w:pPr>
        <w:rPr>
          <w:b/>
          <w:szCs w:val="22"/>
        </w:rPr>
      </w:pPr>
    </w:p>
    <w:p w14:paraId="449861E8" w14:textId="77777777" w:rsidR="005A2883" w:rsidRPr="005A2883" w:rsidRDefault="005A5D49" w:rsidP="005A2883">
      <w:pPr>
        <w:tabs>
          <w:tab w:val="left" w:pos="567"/>
        </w:tabs>
        <w:rPr>
          <w:b/>
        </w:rPr>
      </w:pPr>
      <w:r w:rsidRPr="005A2883">
        <w:rPr>
          <w:i/>
        </w:rPr>
        <w:t>.</w:t>
      </w:r>
      <w:r w:rsidRPr="005A2883">
        <w:rPr>
          <w:b/>
        </w:rPr>
        <w:t xml:space="preserve">APPENDICES </w:t>
      </w:r>
    </w:p>
    <w:p w14:paraId="449861E9" w14:textId="77777777" w:rsidR="005A2883" w:rsidRPr="005A2883" w:rsidRDefault="005A5D49" w:rsidP="005A2883">
      <w:pPr>
        <w:tabs>
          <w:tab w:val="left" w:pos="567"/>
        </w:tabs>
        <w:rPr>
          <w:b/>
        </w:rPr>
      </w:pPr>
    </w:p>
    <w:p w14:paraId="449861EA" w14:textId="77777777" w:rsidR="005A2883" w:rsidRPr="005A2883" w:rsidRDefault="005A5D49" w:rsidP="005A2883">
      <w:pPr>
        <w:numPr>
          <w:ilvl w:val="0"/>
          <w:numId w:val="26"/>
        </w:numPr>
        <w:tabs>
          <w:tab w:val="left" w:pos="567"/>
        </w:tabs>
        <w:spacing w:after="160" w:line="256" w:lineRule="auto"/>
        <w:contextualSpacing/>
        <w:rPr>
          <w:rFonts w:eastAsia="Calibri"/>
          <w:iCs/>
          <w:szCs w:val="22"/>
          <w:lang w:eastAsia="en-US"/>
        </w:rPr>
      </w:pPr>
      <w:r w:rsidRPr="005A2883">
        <w:rPr>
          <w:rFonts w:eastAsia="Calibri"/>
          <w:b/>
          <w:bCs/>
          <w:iCs/>
          <w:szCs w:val="22"/>
          <w:lang w:eastAsia="en-US"/>
        </w:rPr>
        <w:t>Appendix 1</w:t>
      </w:r>
      <w:r w:rsidRPr="005A2883">
        <w:rPr>
          <w:rFonts w:eastAsia="Calibri"/>
          <w:iCs/>
          <w:szCs w:val="22"/>
          <w:lang w:eastAsia="en-US"/>
        </w:rPr>
        <w:t xml:space="preserve">  - Detailed Strategic Risk Register 2021 </w:t>
      </w:r>
    </w:p>
    <w:p w14:paraId="449861EB" w14:textId="77777777" w:rsidR="005A2883" w:rsidRPr="005A2883" w:rsidRDefault="005A5D49" w:rsidP="005A2883">
      <w:pPr>
        <w:tabs>
          <w:tab w:val="left" w:pos="567"/>
          <w:tab w:val="left" w:pos="2839"/>
        </w:tabs>
        <w:rPr>
          <w:b/>
          <w:szCs w:val="22"/>
        </w:rPr>
      </w:pPr>
    </w:p>
    <w:p w14:paraId="449861EC" w14:textId="77777777" w:rsidR="005A2883" w:rsidRPr="005A2883" w:rsidRDefault="005A5D49" w:rsidP="005A2883">
      <w:pPr>
        <w:tabs>
          <w:tab w:val="left" w:pos="2839"/>
        </w:tabs>
        <w:ind w:left="426" w:hanging="426"/>
        <w:rPr>
          <w:rFonts w:cs="Arial"/>
        </w:rPr>
      </w:pPr>
    </w:p>
    <w:p w14:paraId="449861ED" w14:textId="77777777" w:rsidR="00DF6571" w:rsidRDefault="005A5D49" w:rsidP="005A2883">
      <w:pPr>
        <w:tabs>
          <w:tab w:val="left" w:pos="2839"/>
        </w:tabs>
        <w:ind w:left="426" w:hanging="426"/>
        <w:rPr>
          <w:rFonts w:cs="Arial"/>
        </w:rPr>
      </w:pPr>
      <w:r>
        <w:rPr>
          <w:rFonts w:cs="Arial"/>
        </w:rPr>
        <w:t>Chris Sinnott</w:t>
      </w:r>
    </w:p>
    <w:p w14:paraId="449861EE" w14:textId="77777777" w:rsidR="00DF6571" w:rsidRDefault="005A5D49" w:rsidP="005A2883">
      <w:pPr>
        <w:tabs>
          <w:tab w:val="left" w:pos="2839"/>
        </w:tabs>
        <w:ind w:left="426" w:hanging="426"/>
        <w:rPr>
          <w:rFonts w:cs="Arial"/>
        </w:rPr>
      </w:pPr>
      <w:r>
        <w:rPr>
          <w:rFonts w:cs="Arial"/>
        </w:rPr>
        <w:t>Deputy Chief Executive</w:t>
      </w:r>
    </w:p>
    <w:p w14:paraId="449861F1" w14:textId="77777777" w:rsidR="005A2883" w:rsidRPr="005A2883" w:rsidRDefault="005A5D49" w:rsidP="005A2883">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791"/>
        <w:gridCol w:w="1481"/>
        <w:gridCol w:w="1318"/>
      </w:tblGrid>
      <w:tr w:rsidR="0063033B" w14:paraId="449861F6" w14:textId="77777777" w:rsidTr="005A2883">
        <w:tc>
          <w:tcPr>
            <w:tcW w:w="3856" w:type="dxa"/>
            <w:tcBorders>
              <w:top w:val="single" w:sz="4" w:space="0" w:color="auto"/>
              <w:left w:val="single" w:sz="4" w:space="0" w:color="auto"/>
              <w:bottom w:val="single" w:sz="4" w:space="0" w:color="auto"/>
              <w:right w:val="single" w:sz="4" w:space="0" w:color="auto"/>
            </w:tcBorders>
            <w:hideMark/>
          </w:tcPr>
          <w:p w14:paraId="449861F2" w14:textId="77777777" w:rsidR="005A2883" w:rsidRPr="005A2883" w:rsidRDefault="005A5D49" w:rsidP="005A2883">
            <w:pPr>
              <w:rPr>
                <w:rFonts w:cs="Arial"/>
              </w:rPr>
            </w:pPr>
            <w:r w:rsidRPr="005A2883">
              <w:rPr>
                <w:rFonts w:cs="Arial"/>
              </w:rPr>
              <w:t>Report Author:</w:t>
            </w:r>
          </w:p>
        </w:tc>
        <w:tc>
          <w:tcPr>
            <w:tcW w:w="2835" w:type="dxa"/>
            <w:tcBorders>
              <w:top w:val="single" w:sz="4" w:space="0" w:color="auto"/>
              <w:left w:val="single" w:sz="4" w:space="0" w:color="auto"/>
              <w:bottom w:val="single" w:sz="4" w:space="0" w:color="auto"/>
              <w:right w:val="single" w:sz="4" w:space="0" w:color="auto"/>
            </w:tcBorders>
            <w:hideMark/>
          </w:tcPr>
          <w:p w14:paraId="449861F3" w14:textId="77777777" w:rsidR="005A2883" w:rsidRPr="005A2883" w:rsidRDefault="005A5D49" w:rsidP="005A2883">
            <w:pPr>
              <w:rPr>
                <w:rFonts w:cs="Arial"/>
              </w:rPr>
            </w:pPr>
            <w:r w:rsidRPr="005A2883">
              <w:rPr>
                <w:rFonts w:cs="Arial"/>
              </w:rPr>
              <w:t>Email:</w:t>
            </w:r>
          </w:p>
        </w:tc>
        <w:tc>
          <w:tcPr>
            <w:tcW w:w="1560" w:type="dxa"/>
            <w:tcBorders>
              <w:top w:val="single" w:sz="4" w:space="0" w:color="auto"/>
              <w:left w:val="single" w:sz="4" w:space="0" w:color="auto"/>
              <w:bottom w:val="single" w:sz="4" w:space="0" w:color="auto"/>
              <w:right w:val="single" w:sz="4" w:space="0" w:color="auto"/>
            </w:tcBorders>
            <w:hideMark/>
          </w:tcPr>
          <w:p w14:paraId="449861F4" w14:textId="77777777" w:rsidR="005A2883" w:rsidRPr="005A2883" w:rsidRDefault="005A5D49" w:rsidP="005A2883">
            <w:pPr>
              <w:rPr>
                <w:rFonts w:cs="Arial"/>
              </w:rPr>
            </w:pPr>
            <w:r w:rsidRPr="005A2883">
              <w:rPr>
                <w:rFonts w:cs="Arial"/>
              </w:rPr>
              <w:t>Telephone:</w:t>
            </w:r>
          </w:p>
        </w:tc>
        <w:tc>
          <w:tcPr>
            <w:tcW w:w="1269" w:type="dxa"/>
            <w:tcBorders>
              <w:top w:val="single" w:sz="4" w:space="0" w:color="auto"/>
              <w:left w:val="single" w:sz="4" w:space="0" w:color="auto"/>
              <w:bottom w:val="single" w:sz="4" w:space="0" w:color="auto"/>
              <w:right w:val="single" w:sz="4" w:space="0" w:color="auto"/>
            </w:tcBorders>
            <w:hideMark/>
          </w:tcPr>
          <w:p w14:paraId="449861F5" w14:textId="77777777" w:rsidR="005A2883" w:rsidRPr="005A2883" w:rsidRDefault="005A5D49" w:rsidP="005A2883">
            <w:pPr>
              <w:rPr>
                <w:rFonts w:cs="Arial"/>
              </w:rPr>
            </w:pPr>
            <w:r w:rsidRPr="005A2883">
              <w:rPr>
                <w:rFonts w:cs="Arial"/>
              </w:rPr>
              <w:t>Date:</w:t>
            </w:r>
          </w:p>
        </w:tc>
      </w:tr>
      <w:tr w:rsidR="0063033B" w14:paraId="449861FB" w14:textId="77777777" w:rsidTr="005A2883">
        <w:tc>
          <w:tcPr>
            <w:tcW w:w="3856" w:type="dxa"/>
            <w:tcBorders>
              <w:top w:val="single" w:sz="4" w:space="0" w:color="auto"/>
              <w:left w:val="single" w:sz="4" w:space="0" w:color="auto"/>
              <w:bottom w:val="single" w:sz="4" w:space="0" w:color="auto"/>
              <w:right w:val="single" w:sz="4" w:space="0" w:color="auto"/>
            </w:tcBorders>
            <w:hideMark/>
          </w:tcPr>
          <w:p w14:paraId="449861F7" w14:textId="77777777" w:rsidR="005A2883" w:rsidRPr="005A2883" w:rsidRDefault="005A5D49" w:rsidP="005A2883">
            <w:pPr>
              <w:rPr>
                <w:rFonts w:cs="Arial"/>
              </w:rPr>
            </w:pPr>
            <w:r w:rsidRPr="005A2883">
              <w:rPr>
                <w:rFonts w:cs="Arial"/>
              </w:rPr>
              <w:t xml:space="preserve">Howard Anthony </w:t>
            </w:r>
          </w:p>
        </w:tc>
        <w:tc>
          <w:tcPr>
            <w:tcW w:w="2835" w:type="dxa"/>
            <w:tcBorders>
              <w:top w:val="single" w:sz="4" w:space="0" w:color="auto"/>
              <w:left w:val="single" w:sz="4" w:space="0" w:color="auto"/>
              <w:bottom w:val="single" w:sz="4" w:space="0" w:color="auto"/>
              <w:right w:val="single" w:sz="4" w:space="0" w:color="auto"/>
            </w:tcBorders>
            <w:hideMark/>
          </w:tcPr>
          <w:p w14:paraId="449861F8" w14:textId="77777777" w:rsidR="005A2883" w:rsidRPr="005A2883" w:rsidRDefault="005A5D49" w:rsidP="005A2883">
            <w:pPr>
              <w:rPr>
                <w:rFonts w:cs="Arial"/>
              </w:rPr>
            </w:pPr>
            <w:r w:rsidRPr="005A2883">
              <w:rPr>
                <w:rFonts w:cs="Arial"/>
              </w:rPr>
              <w:t>howard.anthony@southribble.gov.uk</w:t>
            </w:r>
          </w:p>
        </w:tc>
        <w:tc>
          <w:tcPr>
            <w:tcW w:w="1560" w:type="dxa"/>
            <w:tcBorders>
              <w:top w:val="single" w:sz="4" w:space="0" w:color="auto"/>
              <w:left w:val="single" w:sz="4" w:space="0" w:color="auto"/>
              <w:bottom w:val="single" w:sz="4" w:space="0" w:color="auto"/>
              <w:right w:val="single" w:sz="4" w:space="0" w:color="auto"/>
            </w:tcBorders>
            <w:hideMark/>
          </w:tcPr>
          <w:p w14:paraId="449861F9" w14:textId="77777777" w:rsidR="005A2883" w:rsidRPr="005A2883" w:rsidRDefault="005A5D49" w:rsidP="005A2883">
            <w:pPr>
              <w:rPr>
                <w:rFonts w:cs="Arial"/>
              </w:rPr>
            </w:pPr>
            <w:r w:rsidRPr="005A2883">
              <w:rPr>
                <w:rFonts w:cs="Arial"/>
              </w:rPr>
              <w:t>01772 625546</w:t>
            </w:r>
          </w:p>
        </w:tc>
        <w:tc>
          <w:tcPr>
            <w:tcW w:w="1269" w:type="dxa"/>
            <w:tcBorders>
              <w:top w:val="single" w:sz="4" w:space="0" w:color="auto"/>
              <w:left w:val="single" w:sz="4" w:space="0" w:color="auto"/>
              <w:bottom w:val="single" w:sz="4" w:space="0" w:color="auto"/>
              <w:right w:val="single" w:sz="4" w:space="0" w:color="auto"/>
            </w:tcBorders>
          </w:tcPr>
          <w:p w14:paraId="449861FA" w14:textId="77777777" w:rsidR="005A2883" w:rsidRPr="005A2883" w:rsidRDefault="005A5D49" w:rsidP="005A2883">
            <w:pPr>
              <w:rPr>
                <w:rFonts w:cs="Arial"/>
              </w:rPr>
            </w:pPr>
            <w:r>
              <w:rPr>
                <w:rFonts w:cs="Arial"/>
              </w:rPr>
              <w:t>23/12/2020</w:t>
            </w:r>
          </w:p>
        </w:tc>
      </w:tr>
    </w:tbl>
    <w:p w14:paraId="449861FC" w14:textId="77777777" w:rsidR="001C5E49" w:rsidRPr="009725FB" w:rsidRDefault="005A5D49" w:rsidP="005A2883">
      <w:pPr>
        <w:keepNext/>
        <w:tabs>
          <w:tab w:val="left" w:pos="567"/>
        </w:tabs>
        <w:outlineLvl w:val="0"/>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86205" w14:textId="77777777" w:rsidR="00000000" w:rsidRDefault="005A5D49">
      <w:r>
        <w:separator/>
      </w:r>
    </w:p>
  </w:endnote>
  <w:endnote w:type="continuationSeparator" w:id="0">
    <w:p w14:paraId="44986207" w14:textId="77777777" w:rsidR="00000000" w:rsidRDefault="005A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61FF" w14:textId="77777777" w:rsidR="00FD7B65" w:rsidRPr="00FD7B65" w:rsidRDefault="005A5D49">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44986200" w14:textId="77777777" w:rsidR="00FD7B65" w:rsidRDefault="005A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6201" w14:textId="77777777" w:rsidR="00000000" w:rsidRDefault="005A5D49">
      <w:r>
        <w:separator/>
      </w:r>
    </w:p>
  </w:footnote>
  <w:footnote w:type="continuationSeparator" w:id="0">
    <w:p w14:paraId="44986203" w14:textId="77777777" w:rsidR="00000000" w:rsidRDefault="005A5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4E1F8B"/>
    <w:multiLevelType w:val="hybridMultilevel"/>
    <w:tmpl w:val="8DACACB2"/>
    <w:lvl w:ilvl="0" w:tplc="92287018">
      <w:start w:val="1"/>
      <w:numFmt w:val="bullet"/>
      <w:lvlText w:val=""/>
      <w:lvlJc w:val="left"/>
      <w:pPr>
        <w:ind w:left="720" w:hanging="360"/>
      </w:pPr>
      <w:rPr>
        <w:rFonts w:ascii="Wingdings 3" w:hAnsi="Wingdings 3" w:hint="default"/>
      </w:rPr>
    </w:lvl>
    <w:lvl w:ilvl="1" w:tplc="D9EA8872">
      <w:start w:val="1"/>
      <w:numFmt w:val="bullet"/>
      <w:lvlText w:val="o"/>
      <w:lvlJc w:val="left"/>
      <w:pPr>
        <w:ind w:left="1440" w:hanging="360"/>
      </w:pPr>
      <w:rPr>
        <w:rFonts w:ascii="Courier New" w:hAnsi="Courier New" w:cs="Courier New" w:hint="default"/>
      </w:rPr>
    </w:lvl>
    <w:lvl w:ilvl="2" w:tplc="18CE0CC8">
      <w:start w:val="1"/>
      <w:numFmt w:val="bullet"/>
      <w:lvlText w:val=""/>
      <w:lvlJc w:val="left"/>
      <w:pPr>
        <w:ind w:left="2160" w:hanging="360"/>
      </w:pPr>
      <w:rPr>
        <w:rFonts w:ascii="Wingdings" w:hAnsi="Wingdings" w:hint="default"/>
      </w:rPr>
    </w:lvl>
    <w:lvl w:ilvl="3" w:tplc="BC6AC756">
      <w:start w:val="1"/>
      <w:numFmt w:val="bullet"/>
      <w:lvlText w:val=""/>
      <w:lvlJc w:val="left"/>
      <w:pPr>
        <w:ind w:left="2880" w:hanging="360"/>
      </w:pPr>
      <w:rPr>
        <w:rFonts w:ascii="Symbol" w:hAnsi="Symbol" w:hint="default"/>
      </w:rPr>
    </w:lvl>
    <w:lvl w:ilvl="4" w:tplc="E7F42E5C">
      <w:start w:val="1"/>
      <w:numFmt w:val="bullet"/>
      <w:lvlText w:val="o"/>
      <w:lvlJc w:val="left"/>
      <w:pPr>
        <w:ind w:left="3600" w:hanging="360"/>
      </w:pPr>
      <w:rPr>
        <w:rFonts w:ascii="Courier New" w:hAnsi="Courier New" w:cs="Courier New" w:hint="default"/>
      </w:rPr>
    </w:lvl>
    <w:lvl w:ilvl="5" w:tplc="C4488532">
      <w:start w:val="1"/>
      <w:numFmt w:val="bullet"/>
      <w:lvlText w:val=""/>
      <w:lvlJc w:val="left"/>
      <w:pPr>
        <w:ind w:left="4320" w:hanging="360"/>
      </w:pPr>
      <w:rPr>
        <w:rFonts w:ascii="Wingdings" w:hAnsi="Wingdings" w:hint="default"/>
      </w:rPr>
    </w:lvl>
    <w:lvl w:ilvl="6" w:tplc="6FAA2BBC">
      <w:start w:val="1"/>
      <w:numFmt w:val="bullet"/>
      <w:lvlText w:val=""/>
      <w:lvlJc w:val="left"/>
      <w:pPr>
        <w:ind w:left="5040" w:hanging="360"/>
      </w:pPr>
      <w:rPr>
        <w:rFonts w:ascii="Symbol" w:hAnsi="Symbol" w:hint="default"/>
      </w:rPr>
    </w:lvl>
    <w:lvl w:ilvl="7" w:tplc="56CAEC10">
      <w:start w:val="1"/>
      <w:numFmt w:val="bullet"/>
      <w:lvlText w:val="o"/>
      <w:lvlJc w:val="left"/>
      <w:pPr>
        <w:ind w:left="5760" w:hanging="360"/>
      </w:pPr>
      <w:rPr>
        <w:rFonts w:ascii="Courier New" w:hAnsi="Courier New" w:cs="Courier New" w:hint="default"/>
      </w:rPr>
    </w:lvl>
    <w:lvl w:ilvl="8" w:tplc="E58A8518">
      <w:start w:val="1"/>
      <w:numFmt w:val="bullet"/>
      <w:lvlText w:val=""/>
      <w:lvlJc w:val="left"/>
      <w:pPr>
        <w:ind w:left="6480" w:hanging="360"/>
      </w:pPr>
      <w:rPr>
        <w:rFonts w:ascii="Wingdings" w:hAnsi="Wingdings" w:hint="default"/>
      </w:rPr>
    </w:lvl>
  </w:abstractNum>
  <w:abstractNum w:abstractNumId="2" w15:restartNumberingAfterBreak="0">
    <w:nsid w:val="08C647D2"/>
    <w:multiLevelType w:val="hybridMultilevel"/>
    <w:tmpl w:val="14BAA886"/>
    <w:lvl w:ilvl="0" w:tplc="B2EEFBF8">
      <w:start w:val="1"/>
      <w:numFmt w:val="bullet"/>
      <w:lvlText w:val=""/>
      <w:lvlJc w:val="left"/>
      <w:pPr>
        <w:ind w:left="720" w:hanging="360"/>
      </w:pPr>
      <w:rPr>
        <w:rFonts w:ascii="Symbol" w:hAnsi="Symbol" w:hint="default"/>
      </w:rPr>
    </w:lvl>
    <w:lvl w:ilvl="1" w:tplc="DC82E640" w:tentative="1">
      <w:start w:val="1"/>
      <w:numFmt w:val="bullet"/>
      <w:lvlText w:val="o"/>
      <w:lvlJc w:val="left"/>
      <w:pPr>
        <w:ind w:left="1440" w:hanging="360"/>
      </w:pPr>
      <w:rPr>
        <w:rFonts w:ascii="Courier New" w:hAnsi="Courier New" w:cs="Courier New" w:hint="default"/>
      </w:rPr>
    </w:lvl>
    <w:lvl w:ilvl="2" w:tplc="BD0289E0" w:tentative="1">
      <w:start w:val="1"/>
      <w:numFmt w:val="bullet"/>
      <w:lvlText w:val=""/>
      <w:lvlJc w:val="left"/>
      <w:pPr>
        <w:ind w:left="2160" w:hanging="360"/>
      </w:pPr>
      <w:rPr>
        <w:rFonts w:ascii="Wingdings" w:hAnsi="Wingdings" w:hint="default"/>
      </w:rPr>
    </w:lvl>
    <w:lvl w:ilvl="3" w:tplc="F0AA3284" w:tentative="1">
      <w:start w:val="1"/>
      <w:numFmt w:val="bullet"/>
      <w:lvlText w:val=""/>
      <w:lvlJc w:val="left"/>
      <w:pPr>
        <w:ind w:left="2880" w:hanging="360"/>
      </w:pPr>
      <w:rPr>
        <w:rFonts w:ascii="Symbol" w:hAnsi="Symbol" w:hint="default"/>
      </w:rPr>
    </w:lvl>
    <w:lvl w:ilvl="4" w:tplc="4BB010F6" w:tentative="1">
      <w:start w:val="1"/>
      <w:numFmt w:val="bullet"/>
      <w:lvlText w:val="o"/>
      <w:lvlJc w:val="left"/>
      <w:pPr>
        <w:ind w:left="3600" w:hanging="360"/>
      </w:pPr>
      <w:rPr>
        <w:rFonts w:ascii="Courier New" w:hAnsi="Courier New" w:cs="Courier New" w:hint="default"/>
      </w:rPr>
    </w:lvl>
    <w:lvl w:ilvl="5" w:tplc="09D8FF30" w:tentative="1">
      <w:start w:val="1"/>
      <w:numFmt w:val="bullet"/>
      <w:lvlText w:val=""/>
      <w:lvlJc w:val="left"/>
      <w:pPr>
        <w:ind w:left="4320" w:hanging="360"/>
      </w:pPr>
      <w:rPr>
        <w:rFonts w:ascii="Wingdings" w:hAnsi="Wingdings" w:hint="default"/>
      </w:rPr>
    </w:lvl>
    <w:lvl w:ilvl="6" w:tplc="9E68A47E" w:tentative="1">
      <w:start w:val="1"/>
      <w:numFmt w:val="bullet"/>
      <w:lvlText w:val=""/>
      <w:lvlJc w:val="left"/>
      <w:pPr>
        <w:ind w:left="5040" w:hanging="360"/>
      </w:pPr>
      <w:rPr>
        <w:rFonts w:ascii="Symbol" w:hAnsi="Symbol" w:hint="default"/>
      </w:rPr>
    </w:lvl>
    <w:lvl w:ilvl="7" w:tplc="01EAE37A" w:tentative="1">
      <w:start w:val="1"/>
      <w:numFmt w:val="bullet"/>
      <w:lvlText w:val="o"/>
      <w:lvlJc w:val="left"/>
      <w:pPr>
        <w:ind w:left="5760" w:hanging="360"/>
      </w:pPr>
      <w:rPr>
        <w:rFonts w:ascii="Courier New" w:hAnsi="Courier New" w:cs="Courier New" w:hint="default"/>
      </w:rPr>
    </w:lvl>
    <w:lvl w:ilvl="8" w:tplc="3C749B3C" w:tentative="1">
      <w:start w:val="1"/>
      <w:numFmt w:val="bullet"/>
      <w:lvlText w:val=""/>
      <w:lvlJc w:val="left"/>
      <w:pPr>
        <w:ind w:left="6480" w:hanging="360"/>
      </w:pPr>
      <w:rPr>
        <w:rFonts w:ascii="Wingdings" w:hAnsi="Wingdings" w:hint="default"/>
      </w:rPr>
    </w:lvl>
  </w:abstractNum>
  <w:abstractNum w:abstractNumId="3" w15:restartNumberingAfterBreak="0">
    <w:nsid w:val="0C9C6D4A"/>
    <w:multiLevelType w:val="hybridMultilevel"/>
    <w:tmpl w:val="F4FC2420"/>
    <w:lvl w:ilvl="0" w:tplc="FFBED3A2">
      <w:start w:val="1"/>
      <w:numFmt w:val="decimal"/>
      <w:lvlText w:val="%1."/>
      <w:lvlJc w:val="left"/>
      <w:pPr>
        <w:ind w:left="720" w:hanging="360"/>
      </w:pPr>
    </w:lvl>
    <w:lvl w:ilvl="1" w:tplc="7C1A9554" w:tentative="1">
      <w:start w:val="1"/>
      <w:numFmt w:val="lowerLetter"/>
      <w:lvlText w:val="%2."/>
      <w:lvlJc w:val="left"/>
      <w:pPr>
        <w:ind w:left="1440" w:hanging="360"/>
      </w:pPr>
    </w:lvl>
    <w:lvl w:ilvl="2" w:tplc="4C98DF84" w:tentative="1">
      <w:start w:val="1"/>
      <w:numFmt w:val="lowerRoman"/>
      <w:lvlText w:val="%3."/>
      <w:lvlJc w:val="right"/>
      <w:pPr>
        <w:ind w:left="2160" w:hanging="180"/>
      </w:pPr>
    </w:lvl>
    <w:lvl w:ilvl="3" w:tplc="694877BE" w:tentative="1">
      <w:start w:val="1"/>
      <w:numFmt w:val="decimal"/>
      <w:lvlText w:val="%4."/>
      <w:lvlJc w:val="left"/>
      <w:pPr>
        <w:ind w:left="2880" w:hanging="360"/>
      </w:pPr>
    </w:lvl>
    <w:lvl w:ilvl="4" w:tplc="4A54F2E6" w:tentative="1">
      <w:start w:val="1"/>
      <w:numFmt w:val="lowerLetter"/>
      <w:lvlText w:val="%5."/>
      <w:lvlJc w:val="left"/>
      <w:pPr>
        <w:ind w:left="3600" w:hanging="360"/>
      </w:pPr>
    </w:lvl>
    <w:lvl w:ilvl="5" w:tplc="FB080594" w:tentative="1">
      <w:start w:val="1"/>
      <w:numFmt w:val="lowerRoman"/>
      <w:lvlText w:val="%6."/>
      <w:lvlJc w:val="right"/>
      <w:pPr>
        <w:ind w:left="4320" w:hanging="180"/>
      </w:pPr>
    </w:lvl>
    <w:lvl w:ilvl="6" w:tplc="50AE9E98" w:tentative="1">
      <w:start w:val="1"/>
      <w:numFmt w:val="decimal"/>
      <w:lvlText w:val="%7."/>
      <w:lvlJc w:val="left"/>
      <w:pPr>
        <w:ind w:left="5040" w:hanging="360"/>
      </w:pPr>
    </w:lvl>
    <w:lvl w:ilvl="7" w:tplc="B0E000DC" w:tentative="1">
      <w:start w:val="1"/>
      <w:numFmt w:val="lowerLetter"/>
      <w:lvlText w:val="%8."/>
      <w:lvlJc w:val="left"/>
      <w:pPr>
        <w:ind w:left="5760" w:hanging="360"/>
      </w:pPr>
    </w:lvl>
    <w:lvl w:ilvl="8" w:tplc="71A66220" w:tentative="1">
      <w:start w:val="1"/>
      <w:numFmt w:val="lowerRoman"/>
      <w:lvlText w:val="%9."/>
      <w:lvlJc w:val="right"/>
      <w:pPr>
        <w:ind w:left="6480" w:hanging="180"/>
      </w:pPr>
    </w:lvl>
  </w:abstractNum>
  <w:abstractNum w:abstractNumId="4" w15:restartNumberingAfterBreak="0">
    <w:nsid w:val="10611A26"/>
    <w:multiLevelType w:val="hybridMultilevel"/>
    <w:tmpl w:val="A9B88FD8"/>
    <w:lvl w:ilvl="0" w:tplc="2DE2ABDC">
      <w:start w:val="1"/>
      <w:numFmt w:val="bullet"/>
      <w:lvlText w:val=""/>
      <w:lvlJc w:val="left"/>
      <w:pPr>
        <w:ind w:left="780" w:hanging="360"/>
      </w:pPr>
      <w:rPr>
        <w:rFonts w:ascii="Symbol" w:hAnsi="Symbol" w:hint="default"/>
      </w:rPr>
    </w:lvl>
    <w:lvl w:ilvl="1" w:tplc="884688A8" w:tentative="1">
      <w:start w:val="1"/>
      <w:numFmt w:val="bullet"/>
      <w:lvlText w:val="o"/>
      <w:lvlJc w:val="left"/>
      <w:pPr>
        <w:ind w:left="1500" w:hanging="360"/>
      </w:pPr>
      <w:rPr>
        <w:rFonts w:ascii="Courier New" w:hAnsi="Courier New" w:cs="Courier New" w:hint="default"/>
      </w:rPr>
    </w:lvl>
    <w:lvl w:ilvl="2" w:tplc="14BE2368" w:tentative="1">
      <w:start w:val="1"/>
      <w:numFmt w:val="bullet"/>
      <w:lvlText w:val=""/>
      <w:lvlJc w:val="left"/>
      <w:pPr>
        <w:ind w:left="2220" w:hanging="360"/>
      </w:pPr>
      <w:rPr>
        <w:rFonts w:ascii="Wingdings" w:hAnsi="Wingdings" w:hint="default"/>
      </w:rPr>
    </w:lvl>
    <w:lvl w:ilvl="3" w:tplc="B87E3372" w:tentative="1">
      <w:start w:val="1"/>
      <w:numFmt w:val="bullet"/>
      <w:lvlText w:val=""/>
      <w:lvlJc w:val="left"/>
      <w:pPr>
        <w:ind w:left="2940" w:hanging="360"/>
      </w:pPr>
      <w:rPr>
        <w:rFonts w:ascii="Symbol" w:hAnsi="Symbol" w:hint="default"/>
      </w:rPr>
    </w:lvl>
    <w:lvl w:ilvl="4" w:tplc="FDB235DC" w:tentative="1">
      <w:start w:val="1"/>
      <w:numFmt w:val="bullet"/>
      <w:lvlText w:val="o"/>
      <w:lvlJc w:val="left"/>
      <w:pPr>
        <w:ind w:left="3660" w:hanging="360"/>
      </w:pPr>
      <w:rPr>
        <w:rFonts w:ascii="Courier New" w:hAnsi="Courier New" w:cs="Courier New" w:hint="default"/>
      </w:rPr>
    </w:lvl>
    <w:lvl w:ilvl="5" w:tplc="A0E4D554" w:tentative="1">
      <w:start w:val="1"/>
      <w:numFmt w:val="bullet"/>
      <w:lvlText w:val=""/>
      <w:lvlJc w:val="left"/>
      <w:pPr>
        <w:ind w:left="4380" w:hanging="360"/>
      </w:pPr>
      <w:rPr>
        <w:rFonts w:ascii="Wingdings" w:hAnsi="Wingdings" w:hint="default"/>
      </w:rPr>
    </w:lvl>
    <w:lvl w:ilvl="6" w:tplc="889C3958" w:tentative="1">
      <w:start w:val="1"/>
      <w:numFmt w:val="bullet"/>
      <w:lvlText w:val=""/>
      <w:lvlJc w:val="left"/>
      <w:pPr>
        <w:ind w:left="5100" w:hanging="360"/>
      </w:pPr>
      <w:rPr>
        <w:rFonts w:ascii="Symbol" w:hAnsi="Symbol" w:hint="default"/>
      </w:rPr>
    </w:lvl>
    <w:lvl w:ilvl="7" w:tplc="5E684CE0" w:tentative="1">
      <w:start w:val="1"/>
      <w:numFmt w:val="bullet"/>
      <w:lvlText w:val="o"/>
      <w:lvlJc w:val="left"/>
      <w:pPr>
        <w:ind w:left="5820" w:hanging="360"/>
      </w:pPr>
      <w:rPr>
        <w:rFonts w:ascii="Courier New" w:hAnsi="Courier New" w:cs="Courier New" w:hint="default"/>
      </w:rPr>
    </w:lvl>
    <w:lvl w:ilvl="8" w:tplc="C078631C"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1ECE4356">
      <w:start w:val="1"/>
      <w:numFmt w:val="bullet"/>
      <w:lvlText w:val="u"/>
      <w:lvlJc w:val="left"/>
      <w:pPr>
        <w:ind w:left="720" w:hanging="360"/>
      </w:pPr>
      <w:rPr>
        <w:rFonts w:ascii="Wingdings 3" w:hAnsi="Wingdings 3" w:hint="default"/>
      </w:rPr>
    </w:lvl>
    <w:lvl w:ilvl="1" w:tplc="C9A0B62A" w:tentative="1">
      <w:start w:val="1"/>
      <w:numFmt w:val="bullet"/>
      <w:lvlText w:val="o"/>
      <w:lvlJc w:val="left"/>
      <w:pPr>
        <w:ind w:left="1440" w:hanging="360"/>
      </w:pPr>
      <w:rPr>
        <w:rFonts w:ascii="Courier New" w:hAnsi="Courier New" w:cs="Courier New" w:hint="default"/>
      </w:rPr>
    </w:lvl>
    <w:lvl w:ilvl="2" w:tplc="EEF8527E" w:tentative="1">
      <w:start w:val="1"/>
      <w:numFmt w:val="bullet"/>
      <w:lvlText w:val=""/>
      <w:lvlJc w:val="left"/>
      <w:pPr>
        <w:ind w:left="2160" w:hanging="360"/>
      </w:pPr>
      <w:rPr>
        <w:rFonts w:ascii="Wingdings" w:hAnsi="Wingdings" w:hint="default"/>
      </w:rPr>
    </w:lvl>
    <w:lvl w:ilvl="3" w:tplc="159E96C8" w:tentative="1">
      <w:start w:val="1"/>
      <w:numFmt w:val="bullet"/>
      <w:lvlText w:val=""/>
      <w:lvlJc w:val="left"/>
      <w:pPr>
        <w:ind w:left="2880" w:hanging="360"/>
      </w:pPr>
      <w:rPr>
        <w:rFonts w:ascii="Symbol" w:hAnsi="Symbol" w:hint="default"/>
      </w:rPr>
    </w:lvl>
    <w:lvl w:ilvl="4" w:tplc="1AD0F4E2" w:tentative="1">
      <w:start w:val="1"/>
      <w:numFmt w:val="bullet"/>
      <w:lvlText w:val="o"/>
      <w:lvlJc w:val="left"/>
      <w:pPr>
        <w:ind w:left="3600" w:hanging="360"/>
      </w:pPr>
      <w:rPr>
        <w:rFonts w:ascii="Courier New" w:hAnsi="Courier New" w:cs="Courier New" w:hint="default"/>
      </w:rPr>
    </w:lvl>
    <w:lvl w:ilvl="5" w:tplc="066A83B2" w:tentative="1">
      <w:start w:val="1"/>
      <w:numFmt w:val="bullet"/>
      <w:lvlText w:val=""/>
      <w:lvlJc w:val="left"/>
      <w:pPr>
        <w:ind w:left="4320" w:hanging="360"/>
      </w:pPr>
      <w:rPr>
        <w:rFonts w:ascii="Wingdings" w:hAnsi="Wingdings" w:hint="default"/>
      </w:rPr>
    </w:lvl>
    <w:lvl w:ilvl="6" w:tplc="DD7A2C1A" w:tentative="1">
      <w:start w:val="1"/>
      <w:numFmt w:val="bullet"/>
      <w:lvlText w:val=""/>
      <w:lvlJc w:val="left"/>
      <w:pPr>
        <w:ind w:left="5040" w:hanging="360"/>
      </w:pPr>
      <w:rPr>
        <w:rFonts w:ascii="Symbol" w:hAnsi="Symbol" w:hint="default"/>
      </w:rPr>
    </w:lvl>
    <w:lvl w:ilvl="7" w:tplc="4C12A3AE" w:tentative="1">
      <w:start w:val="1"/>
      <w:numFmt w:val="bullet"/>
      <w:lvlText w:val="o"/>
      <w:lvlJc w:val="left"/>
      <w:pPr>
        <w:ind w:left="5760" w:hanging="360"/>
      </w:pPr>
      <w:rPr>
        <w:rFonts w:ascii="Courier New" w:hAnsi="Courier New" w:cs="Courier New" w:hint="default"/>
      </w:rPr>
    </w:lvl>
    <w:lvl w:ilvl="8" w:tplc="D0B65CC0"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4B3CB980">
      <w:start w:val="1"/>
      <w:numFmt w:val="decimal"/>
      <w:lvlText w:val="%1."/>
      <w:lvlJc w:val="left"/>
      <w:pPr>
        <w:ind w:left="720" w:hanging="360"/>
      </w:pPr>
      <w:rPr>
        <w:rFonts w:hint="default"/>
      </w:rPr>
    </w:lvl>
    <w:lvl w:ilvl="1" w:tplc="1820F8C6" w:tentative="1">
      <w:start w:val="1"/>
      <w:numFmt w:val="lowerLetter"/>
      <w:lvlText w:val="%2."/>
      <w:lvlJc w:val="left"/>
      <w:pPr>
        <w:ind w:left="1440" w:hanging="360"/>
      </w:pPr>
    </w:lvl>
    <w:lvl w:ilvl="2" w:tplc="7C7AB266" w:tentative="1">
      <w:start w:val="1"/>
      <w:numFmt w:val="lowerRoman"/>
      <w:lvlText w:val="%3."/>
      <w:lvlJc w:val="right"/>
      <w:pPr>
        <w:ind w:left="2160" w:hanging="180"/>
      </w:pPr>
    </w:lvl>
    <w:lvl w:ilvl="3" w:tplc="9DC2B6FA" w:tentative="1">
      <w:start w:val="1"/>
      <w:numFmt w:val="decimal"/>
      <w:lvlText w:val="%4."/>
      <w:lvlJc w:val="left"/>
      <w:pPr>
        <w:ind w:left="2880" w:hanging="360"/>
      </w:pPr>
    </w:lvl>
    <w:lvl w:ilvl="4" w:tplc="02ACE9A2" w:tentative="1">
      <w:start w:val="1"/>
      <w:numFmt w:val="lowerLetter"/>
      <w:lvlText w:val="%5."/>
      <w:lvlJc w:val="left"/>
      <w:pPr>
        <w:ind w:left="3600" w:hanging="360"/>
      </w:pPr>
    </w:lvl>
    <w:lvl w:ilvl="5" w:tplc="8C58A708" w:tentative="1">
      <w:start w:val="1"/>
      <w:numFmt w:val="lowerRoman"/>
      <w:lvlText w:val="%6."/>
      <w:lvlJc w:val="right"/>
      <w:pPr>
        <w:ind w:left="4320" w:hanging="180"/>
      </w:pPr>
    </w:lvl>
    <w:lvl w:ilvl="6" w:tplc="6CCE9070" w:tentative="1">
      <w:start w:val="1"/>
      <w:numFmt w:val="decimal"/>
      <w:lvlText w:val="%7."/>
      <w:lvlJc w:val="left"/>
      <w:pPr>
        <w:ind w:left="5040" w:hanging="360"/>
      </w:pPr>
    </w:lvl>
    <w:lvl w:ilvl="7" w:tplc="B9EC2D8E" w:tentative="1">
      <w:start w:val="1"/>
      <w:numFmt w:val="lowerLetter"/>
      <w:lvlText w:val="%8."/>
      <w:lvlJc w:val="left"/>
      <w:pPr>
        <w:ind w:left="5760" w:hanging="360"/>
      </w:pPr>
    </w:lvl>
    <w:lvl w:ilvl="8" w:tplc="F53ED95E" w:tentative="1">
      <w:start w:val="1"/>
      <w:numFmt w:val="lowerRoman"/>
      <w:lvlText w:val="%9."/>
      <w:lvlJc w:val="right"/>
      <w:pPr>
        <w:ind w:left="6480" w:hanging="180"/>
      </w:pPr>
    </w:lvl>
  </w:abstractNum>
  <w:abstractNum w:abstractNumId="7"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56F66"/>
    <w:multiLevelType w:val="hybridMultilevel"/>
    <w:tmpl w:val="B5FE6524"/>
    <w:lvl w:ilvl="0" w:tplc="6D1403A4">
      <w:start w:val="1"/>
      <w:numFmt w:val="bullet"/>
      <w:lvlText w:val=""/>
      <w:lvlJc w:val="left"/>
      <w:pPr>
        <w:ind w:left="1440" w:hanging="360"/>
      </w:pPr>
      <w:rPr>
        <w:rFonts w:ascii="Wingdings 3" w:hAnsi="Wingdings 3" w:hint="default"/>
      </w:rPr>
    </w:lvl>
    <w:lvl w:ilvl="1" w:tplc="FCFCF21E">
      <w:start w:val="1"/>
      <w:numFmt w:val="bullet"/>
      <w:lvlText w:val="o"/>
      <w:lvlJc w:val="left"/>
      <w:pPr>
        <w:ind w:left="2160" w:hanging="360"/>
      </w:pPr>
      <w:rPr>
        <w:rFonts w:ascii="Courier New" w:hAnsi="Courier New" w:cs="Courier New" w:hint="default"/>
      </w:rPr>
    </w:lvl>
    <w:lvl w:ilvl="2" w:tplc="135CEF6E">
      <w:start w:val="1"/>
      <w:numFmt w:val="bullet"/>
      <w:lvlText w:val=""/>
      <w:lvlJc w:val="left"/>
      <w:pPr>
        <w:ind w:left="2880" w:hanging="360"/>
      </w:pPr>
      <w:rPr>
        <w:rFonts w:ascii="Wingdings" w:hAnsi="Wingdings" w:hint="default"/>
      </w:rPr>
    </w:lvl>
    <w:lvl w:ilvl="3" w:tplc="F36AABFE">
      <w:start w:val="1"/>
      <w:numFmt w:val="bullet"/>
      <w:lvlText w:val=""/>
      <w:lvlJc w:val="left"/>
      <w:pPr>
        <w:ind w:left="3600" w:hanging="360"/>
      </w:pPr>
      <w:rPr>
        <w:rFonts w:ascii="Symbol" w:hAnsi="Symbol" w:hint="default"/>
      </w:rPr>
    </w:lvl>
    <w:lvl w:ilvl="4" w:tplc="CBE2332A">
      <w:start w:val="1"/>
      <w:numFmt w:val="bullet"/>
      <w:lvlText w:val="o"/>
      <w:lvlJc w:val="left"/>
      <w:pPr>
        <w:ind w:left="4320" w:hanging="360"/>
      </w:pPr>
      <w:rPr>
        <w:rFonts w:ascii="Courier New" w:hAnsi="Courier New" w:cs="Courier New" w:hint="default"/>
      </w:rPr>
    </w:lvl>
    <w:lvl w:ilvl="5" w:tplc="62143490">
      <w:start w:val="1"/>
      <w:numFmt w:val="bullet"/>
      <w:lvlText w:val=""/>
      <w:lvlJc w:val="left"/>
      <w:pPr>
        <w:ind w:left="5040" w:hanging="360"/>
      </w:pPr>
      <w:rPr>
        <w:rFonts w:ascii="Wingdings" w:hAnsi="Wingdings" w:hint="default"/>
      </w:rPr>
    </w:lvl>
    <w:lvl w:ilvl="6" w:tplc="C2107428">
      <w:start w:val="1"/>
      <w:numFmt w:val="bullet"/>
      <w:lvlText w:val=""/>
      <w:lvlJc w:val="left"/>
      <w:pPr>
        <w:ind w:left="5760" w:hanging="360"/>
      </w:pPr>
      <w:rPr>
        <w:rFonts w:ascii="Symbol" w:hAnsi="Symbol" w:hint="default"/>
      </w:rPr>
    </w:lvl>
    <w:lvl w:ilvl="7" w:tplc="87C65FC8">
      <w:start w:val="1"/>
      <w:numFmt w:val="bullet"/>
      <w:lvlText w:val="o"/>
      <w:lvlJc w:val="left"/>
      <w:pPr>
        <w:ind w:left="6480" w:hanging="360"/>
      </w:pPr>
      <w:rPr>
        <w:rFonts w:ascii="Courier New" w:hAnsi="Courier New" w:cs="Courier New" w:hint="default"/>
      </w:rPr>
    </w:lvl>
    <w:lvl w:ilvl="8" w:tplc="081ECD04">
      <w:start w:val="1"/>
      <w:numFmt w:val="bullet"/>
      <w:lvlText w:val=""/>
      <w:lvlJc w:val="left"/>
      <w:pPr>
        <w:ind w:left="7200" w:hanging="360"/>
      </w:pPr>
      <w:rPr>
        <w:rFonts w:ascii="Wingdings" w:hAnsi="Wingdings" w:hint="default"/>
      </w:r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6B67A8A"/>
    <w:multiLevelType w:val="hybridMultilevel"/>
    <w:tmpl w:val="C1FEE3B0"/>
    <w:lvl w:ilvl="0" w:tplc="4F38B0DA">
      <w:start w:val="1"/>
      <w:numFmt w:val="bullet"/>
      <w:lvlText w:val=""/>
      <w:lvlJc w:val="left"/>
      <w:pPr>
        <w:ind w:left="720" w:hanging="360"/>
      </w:pPr>
      <w:rPr>
        <w:rFonts w:ascii="Wingdings" w:hAnsi="Wingdings" w:hint="default"/>
      </w:rPr>
    </w:lvl>
    <w:lvl w:ilvl="1" w:tplc="08D4F07A">
      <w:start w:val="1"/>
      <w:numFmt w:val="bullet"/>
      <w:lvlText w:val=""/>
      <w:lvlJc w:val="left"/>
      <w:pPr>
        <w:ind w:left="1440" w:hanging="360"/>
      </w:pPr>
      <w:rPr>
        <w:rFonts w:ascii="Symbol" w:hAnsi="Symbol" w:hint="default"/>
      </w:rPr>
    </w:lvl>
    <w:lvl w:ilvl="2" w:tplc="1CB4993E" w:tentative="1">
      <w:start w:val="1"/>
      <w:numFmt w:val="lowerRoman"/>
      <w:lvlText w:val="%3."/>
      <w:lvlJc w:val="right"/>
      <w:pPr>
        <w:ind w:left="2160" w:hanging="180"/>
      </w:pPr>
    </w:lvl>
    <w:lvl w:ilvl="3" w:tplc="7B34EE30" w:tentative="1">
      <w:start w:val="1"/>
      <w:numFmt w:val="decimal"/>
      <w:lvlText w:val="%4."/>
      <w:lvlJc w:val="left"/>
      <w:pPr>
        <w:ind w:left="2880" w:hanging="360"/>
      </w:pPr>
    </w:lvl>
    <w:lvl w:ilvl="4" w:tplc="396AEC16" w:tentative="1">
      <w:start w:val="1"/>
      <w:numFmt w:val="lowerLetter"/>
      <w:lvlText w:val="%5."/>
      <w:lvlJc w:val="left"/>
      <w:pPr>
        <w:ind w:left="3600" w:hanging="360"/>
      </w:pPr>
    </w:lvl>
    <w:lvl w:ilvl="5" w:tplc="A57E6354" w:tentative="1">
      <w:start w:val="1"/>
      <w:numFmt w:val="lowerRoman"/>
      <w:lvlText w:val="%6."/>
      <w:lvlJc w:val="right"/>
      <w:pPr>
        <w:ind w:left="4320" w:hanging="180"/>
      </w:pPr>
    </w:lvl>
    <w:lvl w:ilvl="6" w:tplc="F5E86760" w:tentative="1">
      <w:start w:val="1"/>
      <w:numFmt w:val="decimal"/>
      <w:lvlText w:val="%7."/>
      <w:lvlJc w:val="left"/>
      <w:pPr>
        <w:ind w:left="5040" w:hanging="360"/>
      </w:pPr>
    </w:lvl>
    <w:lvl w:ilvl="7" w:tplc="56928102" w:tentative="1">
      <w:start w:val="1"/>
      <w:numFmt w:val="lowerLetter"/>
      <w:lvlText w:val="%8."/>
      <w:lvlJc w:val="left"/>
      <w:pPr>
        <w:ind w:left="5760" w:hanging="360"/>
      </w:pPr>
    </w:lvl>
    <w:lvl w:ilvl="8" w:tplc="B85080D0" w:tentative="1">
      <w:start w:val="1"/>
      <w:numFmt w:val="lowerRoman"/>
      <w:lvlText w:val="%9."/>
      <w:lvlJc w:val="right"/>
      <w:pPr>
        <w:ind w:left="6480" w:hanging="180"/>
      </w:pPr>
    </w:lvl>
  </w:abstractNum>
  <w:abstractNum w:abstractNumId="11"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4" w15:restartNumberingAfterBreak="0">
    <w:nsid w:val="32EA7385"/>
    <w:multiLevelType w:val="hybridMultilevel"/>
    <w:tmpl w:val="26F4CAD4"/>
    <w:lvl w:ilvl="0" w:tplc="156AC536">
      <w:start w:val="1"/>
      <w:numFmt w:val="decimal"/>
      <w:lvlText w:val="%1."/>
      <w:lvlJc w:val="left"/>
      <w:pPr>
        <w:tabs>
          <w:tab w:val="num" w:pos="720"/>
        </w:tabs>
        <w:ind w:left="720" w:hanging="360"/>
      </w:pPr>
      <w:rPr>
        <w:rFonts w:hint="default"/>
        <w:b/>
      </w:rPr>
    </w:lvl>
    <w:lvl w:ilvl="1" w:tplc="4262FDD4" w:tentative="1">
      <w:start w:val="1"/>
      <w:numFmt w:val="lowerLetter"/>
      <w:lvlText w:val="%2."/>
      <w:lvlJc w:val="left"/>
      <w:pPr>
        <w:tabs>
          <w:tab w:val="num" w:pos="1440"/>
        </w:tabs>
        <w:ind w:left="1440" w:hanging="360"/>
      </w:pPr>
    </w:lvl>
    <w:lvl w:ilvl="2" w:tplc="63AE9ADA" w:tentative="1">
      <w:start w:val="1"/>
      <w:numFmt w:val="lowerRoman"/>
      <w:lvlText w:val="%3."/>
      <w:lvlJc w:val="right"/>
      <w:pPr>
        <w:tabs>
          <w:tab w:val="num" w:pos="2160"/>
        </w:tabs>
        <w:ind w:left="2160" w:hanging="180"/>
      </w:pPr>
    </w:lvl>
    <w:lvl w:ilvl="3" w:tplc="4846223C" w:tentative="1">
      <w:start w:val="1"/>
      <w:numFmt w:val="decimal"/>
      <w:lvlText w:val="%4."/>
      <w:lvlJc w:val="left"/>
      <w:pPr>
        <w:tabs>
          <w:tab w:val="num" w:pos="2880"/>
        </w:tabs>
        <w:ind w:left="2880" w:hanging="360"/>
      </w:pPr>
    </w:lvl>
    <w:lvl w:ilvl="4" w:tplc="CCC2BFF4" w:tentative="1">
      <w:start w:val="1"/>
      <w:numFmt w:val="lowerLetter"/>
      <w:lvlText w:val="%5."/>
      <w:lvlJc w:val="left"/>
      <w:pPr>
        <w:tabs>
          <w:tab w:val="num" w:pos="3600"/>
        </w:tabs>
        <w:ind w:left="3600" w:hanging="360"/>
      </w:pPr>
    </w:lvl>
    <w:lvl w:ilvl="5" w:tplc="7C228234" w:tentative="1">
      <w:start w:val="1"/>
      <w:numFmt w:val="lowerRoman"/>
      <w:lvlText w:val="%6."/>
      <w:lvlJc w:val="right"/>
      <w:pPr>
        <w:tabs>
          <w:tab w:val="num" w:pos="4320"/>
        </w:tabs>
        <w:ind w:left="4320" w:hanging="180"/>
      </w:pPr>
    </w:lvl>
    <w:lvl w:ilvl="6" w:tplc="877AC51C" w:tentative="1">
      <w:start w:val="1"/>
      <w:numFmt w:val="decimal"/>
      <w:lvlText w:val="%7."/>
      <w:lvlJc w:val="left"/>
      <w:pPr>
        <w:tabs>
          <w:tab w:val="num" w:pos="5040"/>
        </w:tabs>
        <w:ind w:left="5040" w:hanging="360"/>
      </w:pPr>
    </w:lvl>
    <w:lvl w:ilvl="7" w:tplc="5192AC34" w:tentative="1">
      <w:start w:val="1"/>
      <w:numFmt w:val="lowerLetter"/>
      <w:lvlText w:val="%8."/>
      <w:lvlJc w:val="left"/>
      <w:pPr>
        <w:tabs>
          <w:tab w:val="num" w:pos="5760"/>
        </w:tabs>
        <w:ind w:left="5760" w:hanging="360"/>
      </w:pPr>
    </w:lvl>
    <w:lvl w:ilvl="8" w:tplc="FA9CBFB0" w:tentative="1">
      <w:start w:val="1"/>
      <w:numFmt w:val="lowerRoman"/>
      <w:lvlText w:val="%9."/>
      <w:lvlJc w:val="right"/>
      <w:pPr>
        <w:tabs>
          <w:tab w:val="num" w:pos="6480"/>
        </w:tabs>
        <w:ind w:left="6480" w:hanging="180"/>
      </w:pPr>
    </w:lvl>
  </w:abstractNum>
  <w:abstractNum w:abstractNumId="15" w15:restartNumberingAfterBreak="0">
    <w:nsid w:val="381A6EC4"/>
    <w:multiLevelType w:val="hybridMultilevel"/>
    <w:tmpl w:val="545CBBB4"/>
    <w:lvl w:ilvl="0" w:tplc="424CDE56">
      <w:start w:val="1"/>
      <w:numFmt w:val="bullet"/>
      <w:lvlText w:val=""/>
      <w:lvlJc w:val="left"/>
      <w:pPr>
        <w:ind w:left="1080" w:hanging="360"/>
      </w:pPr>
      <w:rPr>
        <w:rFonts w:ascii="Wingdings 3" w:hAnsi="Wingdings 3" w:hint="default"/>
      </w:rPr>
    </w:lvl>
    <w:lvl w:ilvl="1" w:tplc="2666709E">
      <w:start w:val="1"/>
      <w:numFmt w:val="bullet"/>
      <w:lvlText w:val="o"/>
      <w:lvlJc w:val="left"/>
      <w:pPr>
        <w:ind w:left="1800" w:hanging="360"/>
      </w:pPr>
      <w:rPr>
        <w:rFonts w:ascii="Courier New" w:hAnsi="Courier New" w:cs="Courier New" w:hint="default"/>
      </w:rPr>
    </w:lvl>
    <w:lvl w:ilvl="2" w:tplc="F068809A">
      <w:start w:val="1"/>
      <w:numFmt w:val="bullet"/>
      <w:lvlText w:val=""/>
      <w:lvlJc w:val="left"/>
      <w:pPr>
        <w:ind w:left="2520" w:hanging="360"/>
      </w:pPr>
      <w:rPr>
        <w:rFonts w:ascii="Wingdings" w:hAnsi="Wingdings" w:hint="default"/>
      </w:rPr>
    </w:lvl>
    <w:lvl w:ilvl="3" w:tplc="2754224A">
      <w:start w:val="1"/>
      <w:numFmt w:val="bullet"/>
      <w:lvlText w:val=""/>
      <w:lvlJc w:val="left"/>
      <w:pPr>
        <w:ind w:left="3240" w:hanging="360"/>
      </w:pPr>
      <w:rPr>
        <w:rFonts w:ascii="Symbol" w:hAnsi="Symbol" w:hint="default"/>
      </w:rPr>
    </w:lvl>
    <w:lvl w:ilvl="4" w:tplc="F522DCDC">
      <w:start w:val="1"/>
      <w:numFmt w:val="bullet"/>
      <w:lvlText w:val="o"/>
      <w:lvlJc w:val="left"/>
      <w:pPr>
        <w:ind w:left="3960" w:hanging="360"/>
      </w:pPr>
      <w:rPr>
        <w:rFonts w:ascii="Courier New" w:hAnsi="Courier New" w:cs="Courier New" w:hint="default"/>
      </w:rPr>
    </w:lvl>
    <w:lvl w:ilvl="5" w:tplc="A4281E3C">
      <w:start w:val="1"/>
      <w:numFmt w:val="bullet"/>
      <w:lvlText w:val=""/>
      <w:lvlJc w:val="left"/>
      <w:pPr>
        <w:ind w:left="4680" w:hanging="360"/>
      </w:pPr>
      <w:rPr>
        <w:rFonts w:ascii="Wingdings" w:hAnsi="Wingdings" w:hint="default"/>
      </w:rPr>
    </w:lvl>
    <w:lvl w:ilvl="6" w:tplc="35D80F60">
      <w:start w:val="1"/>
      <w:numFmt w:val="bullet"/>
      <w:lvlText w:val=""/>
      <w:lvlJc w:val="left"/>
      <w:pPr>
        <w:ind w:left="5400" w:hanging="360"/>
      </w:pPr>
      <w:rPr>
        <w:rFonts w:ascii="Symbol" w:hAnsi="Symbol" w:hint="default"/>
      </w:rPr>
    </w:lvl>
    <w:lvl w:ilvl="7" w:tplc="365818D0">
      <w:start w:val="1"/>
      <w:numFmt w:val="bullet"/>
      <w:lvlText w:val="o"/>
      <w:lvlJc w:val="left"/>
      <w:pPr>
        <w:ind w:left="6120" w:hanging="360"/>
      </w:pPr>
      <w:rPr>
        <w:rFonts w:ascii="Courier New" w:hAnsi="Courier New" w:cs="Courier New" w:hint="default"/>
      </w:rPr>
    </w:lvl>
    <w:lvl w:ilvl="8" w:tplc="6270BBF0">
      <w:start w:val="1"/>
      <w:numFmt w:val="bullet"/>
      <w:lvlText w:val=""/>
      <w:lvlJc w:val="left"/>
      <w:pPr>
        <w:ind w:left="6840" w:hanging="360"/>
      </w:pPr>
      <w:rPr>
        <w:rFonts w:ascii="Wingdings" w:hAnsi="Wingdings" w:hint="default"/>
      </w:rPr>
    </w:lvl>
  </w:abstractNum>
  <w:abstractNum w:abstractNumId="16" w15:restartNumberingAfterBreak="0">
    <w:nsid w:val="384C6DE7"/>
    <w:multiLevelType w:val="hybridMultilevel"/>
    <w:tmpl w:val="3CC27072"/>
    <w:lvl w:ilvl="0" w:tplc="BADE8594">
      <w:start w:val="1"/>
      <w:numFmt w:val="bullet"/>
      <w:lvlText w:val=""/>
      <w:lvlJc w:val="left"/>
      <w:pPr>
        <w:ind w:left="720" w:hanging="360"/>
      </w:pPr>
      <w:rPr>
        <w:rFonts w:ascii="Wingdings" w:hAnsi="Wingdings" w:hint="default"/>
      </w:rPr>
    </w:lvl>
    <w:lvl w:ilvl="1" w:tplc="16529EA6">
      <w:start w:val="1"/>
      <w:numFmt w:val="bullet"/>
      <w:lvlText w:val=""/>
      <w:lvlJc w:val="left"/>
      <w:pPr>
        <w:ind w:left="1440" w:hanging="360"/>
      </w:pPr>
      <w:rPr>
        <w:rFonts w:ascii="Symbol" w:hAnsi="Symbol" w:hint="default"/>
      </w:rPr>
    </w:lvl>
    <w:lvl w:ilvl="2" w:tplc="B0FA0318" w:tentative="1">
      <w:start w:val="1"/>
      <w:numFmt w:val="lowerRoman"/>
      <w:lvlText w:val="%3."/>
      <w:lvlJc w:val="right"/>
      <w:pPr>
        <w:ind w:left="2160" w:hanging="180"/>
      </w:pPr>
    </w:lvl>
    <w:lvl w:ilvl="3" w:tplc="1CD20542" w:tentative="1">
      <w:start w:val="1"/>
      <w:numFmt w:val="decimal"/>
      <w:lvlText w:val="%4."/>
      <w:lvlJc w:val="left"/>
      <w:pPr>
        <w:ind w:left="2880" w:hanging="360"/>
      </w:pPr>
    </w:lvl>
    <w:lvl w:ilvl="4" w:tplc="390E46BA" w:tentative="1">
      <w:start w:val="1"/>
      <w:numFmt w:val="lowerLetter"/>
      <w:lvlText w:val="%5."/>
      <w:lvlJc w:val="left"/>
      <w:pPr>
        <w:ind w:left="3600" w:hanging="360"/>
      </w:pPr>
    </w:lvl>
    <w:lvl w:ilvl="5" w:tplc="A1EA1356" w:tentative="1">
      <w:start w:val="1"/>
      <w:numFmt w:val="lowerRoman"/>
      <w:lvlText w:val="%6."/>
      <w:lvlJc w:val="right"/>
      <w:pPr>
        <w:ind w:left="4320" w:hanging="180"/>
      </w:pPr>
    </w:lvl>
    <w:lvl w:ilvl="6" w:tplc="3EE2C64C" w:tentative="1">
      <w:start w:val="1"/>
      <w:numFmt w:val="decimal"/>
      <w:lvlText w:val="%7."/>
      <w:lvlJc w:val="left"/>
      <w:pPr>
        <w:ind w:left="5040" w:hanging="360"/>
      </w:pPr>
    </w:lvl>
    <w:lvl w:ilvl="7" w:tplc="E0302F7C" w:tentative="1">
      <w:start w:val="1"/>
      <w:numFmt w:val="lowerLetter"/>
      <w:lvlText w:val="%8."/>
      <w:lvlJc w:val="left"/>
      <w:pPr>
        <w:ind w:left="5760" w:hanging="360"/>
      </w:pPr>
    </w:lvl>
    <w:lvl w:ilvl="8" w:tplc="F18415E4" w:tentative="1">
      <w:start w:val="1"/>
      <w:numFmt w:val="lowerRoman"/>
      <w:lvlText w:val="%9."/>
      <w:lvlJc w:val="right"/>
      <w:pPr>
        <w:ind w:left="6480" w:hanging="180"/>
      </w:pPr>
    </w:lvl>
  </w:abstractNum>
  <w:abstractNum w:abstractNumId="17" w15:restartNumberingAfterBreak="0">
    <w:nsid w:val="3EAD3D6B"/>
    <w:multiLevelType w:val="hybridMultilevel"/>
    <w:tmpl w:val="F6081804"/>
    <w:lvl w:ilvl="0" w:tplc="F15634BC">
      <w:start w:val="1"/>
      <w:numFmt w:val="bullet"/>
      <w:lvlText w:val=""/>
      <w:lvlJc w:val="left"/>
      <w:pPr>
        <w:ind w:left="360" w:hanging="360"/>
      </w:pPr>
      <w:rPr>
        <w:rFonts w:ascii="Wingdings 3" w:hAnsi="Wingdings 3" w:hint="default"/>
      </w:rPr>
    </w:lvl>
    <w:lvl w:ilvl="1" w:tplc="7638BF20" w:tentative="1">
      <w:start w:val="1"/>
      <w:numFmt w:val="bullet"/>
      <w:lvlText w:val="o"/>
      <w:lvlJc w:val="left"/>
      <w:pPr>
        <w:ind w:left="1080" w:hanging="360"/>
      </w:pPr>
      <w:rPr>
        <w:rFonts w:ascii="Courier New" w:hAnsi="Courier New" w:cs="Courier New" w:hint="default"/>
      </w:rPr>
    </w:lvl>
    <w:lvl w:ilvl="2" w:tplc="E78EEC42" w:tentative="1">
      <w:start w:val="1"/>
      <w:numFmt w:val="bullet"/>
      <w:lvlText w:val=""/>
      <w:lvlJc w:val="left"/>
      <w:pPr>
        <w:ind w:left="1800" w:hanging="360"/>
      </w:pPr>
      <w:rPr>
        <w:rFonts w:ascii="Wingdings" w:hAnsi="Wingdings" w:hint="default"/>
      </w:rPr>
    </w:lvl>
    <w:lvl w:ilvl="3" w:tplc="405EBB04" w:tentative="1">
      <w:start w:val="1"/>
      <w:numFmt w:val="bullet"/>
      <w:lvlText w:val=""/>
      <w:lvlJc w:val="left"/>
      <w:pPr>
        <w:ind w:left="2520" w:hanging="360"/>
      </w:pPr>
      <w:rPr>
        <w:rFonts w:ascii="Symbol" w:hAnsi="Symbol" w:hint="default"/>
      </w:rPr>
    </w:lvl>
    <w:lvl w:ilvl="4" w:tplc="298EA790" w:tentative="1">
      <w:start w:val="1"/>
      <w:numFmt w:val="bullet"/>
      <w:lvlText w:val="o"/>
      <w:lvlJc w:val="left"/>
      <w:pPr>
        <w:ind w:left="3240" w:hanging="360"/>
      </w:pPr>
      <w:rPr>
        <w:rFonts w:ascii="Courier New" w:hAnsi="Courier New" w:cs="Courier New" w:hint="default"/>
      </w:rPr>
    </w:lvl>
    <w:lvl w:ilvl="5" w:tplc="BECC0E72" w:tentative="1">
      <w:start w:val="1"/>
      <w:numFmt w:val="bullet"/>
      <w:lvlText w:val=""/>
      <w:lvlJc w:val="left"/>
      <w:pPr>
        <w:ind w:left="3960" w:hanging="360"/>
      </w:pPr>
      <w:rPr>
        <w:rFonts w:ascii="Wingdings" w:hAnsi="Wingdings" w:hint="default"/>
      </w:rPr>
    </w:lvl>
    <w:lvl w:ilvl="6" w:tplc="9C7E1C4C" w:tentative="1">
      <w:start w:val="1"/>
      <w:numFmt w:val="bullet"/>
      <w:lvlText w:val=""/>
      <w:lvlJc w:val="left"/>
      <w:pPr>
        <w:ind w:left="4680" w:hanging="360"/>
      </w:pPr>
      <w:rPr>
        <w:rFonts w:ascii="Symbol" w:hAnsi="Symbol" w:hint="default"/>
      </w:rPr>
    </w:lvl>
    <w:lvl w:ilvl="7" w:tplc="FC2E0C46" w:tentative="1">
      <w:start w:val="1"/>
      <w:numFmt w:val="bullet"/>
      <w:lvlText w:val="o"/>
      <w:lvlJc w:val="left"/>
      <w:pPr>
        <w:ind w:left="5400" w:hanging="360"/>
      </w:pPr>
      <w:rPr>
        <w:rFonts w:ascii="Courier New" w:hAnsi="Courier New" w:cs="Courier New" w:hint="default"/>
      </w:rPr>
    </w:lvl>
    <w:lvl w:ilvl="8" w:tplc="149AB43C" w:tentative="1">
      <w:start w:val="1"/>
      <w:numFmt w:val="bullet"/>
      <w:lvlText w:val=""/>
      <w:lvlJc w:val="left"/>
      <w:pPr>
        <w:ind w:left="6120" w:hanging="360"/>
      </w:pPr>
      <w:rPr>
        <w:rFonts w:ascii="Wingdings" w:hAnsi="Wingdings" w:hint="default"/>
      </w:rPr>
    </w:lvl>
  </w:abstractNum>
  <w:abstractNum w:abstractNumId="18" w15:restartNumberingAfterBreak="0">
    <w:nsid w:val="411D2A15"/>
    <w:multiLevelType w:val="hybridMultilevel"/>
    <w:tmpl w:val="6962343A"/>
    <w:lvl w:ilvl="0" w:tplc="F0C8E08E">
      <w:start w:val="1"/>
      <w:numFmt w:val="decimal"/>
      <w:lvlText w:val="%1."/>
      <w:lvlJc w:val="left"/>
      <w:pPr>
        <w:ind w:left="720" w:hanging="360"/>
      </w:pPr>
      <w:rPr>
        <w:rFonts w:ascii="Arial" w:hAnsi="Arial" w:hint="default"/>
      </w:rPr>
    </w:lvl>
    <w:lvl w:ilvl="1" w:tplc="3124B8B2" w:tentative="1">
      <w:start w:val="1"/>
      <w:numFmt w:val="lowerLetter"/>
      <w:lvlText w:val="%2."/>
      <w:lvlJc w:val="left"/>
      <w:pPr>
        <w:ind w:left="1440" w:hanging="360"/>
      </w:pPr>
    </w:lvl>
    <w:lvl w:ilvl="2" w:tplc="185A8978" w:tentative="1">
      <w:start w:val="1"/>
      <w:numFmt w:val="lowerRoman"/>
      <w:lvlText w:val="%3."/>
      <w:lvlJc w:val="right"/>
      <w:pPr>
        <w:ind w:left="2160" w:hanging="180"/>
      </w:pPr>
    </w:lvl>
    <w:lvl w:ilvl="3" w:tplc="37E6D9A0" w:tentative="1">
      <w:start w:val="1"/>
      <w:numFmt w:val="decimal"/>
      <w:lvlText w:val="%4."/>
      <w:lvlJc w:val="left"/>
      <w:pPr>
        <w:ind w:left="2880" w:hanging="360"/>
      </w:pPr>
    </w:lvl>
    <w:lvl w:ilvl="4" w:tplc="89E4532E" w:tentative="1">
      <w:start w:val="1"/>
      <w:numFmt w:val="lowerLetter"/>
      <w:lvlText w:val="%5."/>
      <w:lvlJc w:val="left"/>
      <w:pPr>
        <w:ind w:left="3600" w:hanging="360"/>
      </w:pPr>
    </w:lvl>
    <w:lvl w:ilvl="5" w:tplc="6F62687C" w:tentative="1">
      <w:start w:val="1"/>
      <w:numFmt w:val="lowerRoman"/>
      <w:lvlText w:val="%6."/>
      <w:lvlJc w:val="right"/>
      <w:pPr>
        <w:ind w:left="4320" w:hanging="180"/>
      </w:pPr>
    </w:lvl>
    <w:lvl w:ilvl="6" w:tplc="B44EB81A" w:tentative="1">
      <w:start w:val="1"/>
      <w:numFmt w:val="decimal"/>
      <w:lvlText w:val="%7."/>
      <w:lvlJc w:val="left"/>
      <w:pPr>
        <w:ind w:left="5040" w:hanging="360"/>
      </w:pPr>
    </w:lvl>
    <w:lvl w:ilvl="7" w:tplc="5EB24E48" w:tentative="1">
      <w:start w:val="1"/>
      <w:numFmt w:val="lowerLetter"/>
      <w:lvlText w:val="%8."/>
      <w:lvlJc w:val="left"/>
      <w:pPr>
        <w:ind w:left="5760" w:hanging="360"/>
      </w:pPr>
    </w:lvl>
    <w:lvl w:ilvl="8" w:tplc="AE58E6DC" w:tentative="1">
      <w:start w:val="1"/>
      <w:numFmt w:val="lowerRoman"/>
      <w:lvlText w:val="%9."/>
      <w:lvlJc w:val="right"/>
      <w:pPr>
        <w:ind w:left="6480" w:hanging="180"/>
      </w:pPr>
    </w:lvl>
  </w:abstractNum>
  <w:abstractNum w:abstractNumId="19" w15:restartNumberingAfterBreak="0">
    <w:nsid w:val="5578125A"/>
    <w:multiLevelType w:val="hybridMultilevel"/>
    <w:tmpl w:val="88DE4534"/>
    <w:lvl w:ilvl="0" w:tplc="C95EB18C">
      <w:start w:val="1"/>
      <w:numFmt w:val="bullet"/>
      <w:lvlText w:val=""/>
      <w:lvlJc w:val="left"/>
      <w:pPr>
        <w:ind w:left="1440" w:hanging="360"/>
      </w:pPr>
      <w:rPr>
        <w:rFonts w:ascii="Wingdings 3" w:hAnsi="Wingdings 3" w:hint="default"/>
      </w:rPr>
    </w:lvl>
    <w:lvl w:ilvl="1" w:tplc="E37A3F22">
      <w:start w:val="1"/>
      <w:numFmt w:val="bullet"/>
      <w:lvlText w:val="o"/>
      <w:lvlJc w:val="left"/>
      <w:pPr>
        <w:ind w:left="2160" w:hanging="360"/>
      </w:pPr>
      <w:rPr>
        <w:rFonts w:ascii="Courier New" w:hAnsi="Courier New" w:cs="Courier New" w:hint="default"/>
      </w:rPr>
    </w:lvl>
    <w:lvl w:ilvl="2" w:tplc="911417C6">
      <w:start w:val="1"/>
      <w:numFmt w:val="bullet"/>
      <w:lvlText w:val=""/>
      <w:lvlJc w:val="left"/>
      <w:pPr>
        <w:ind w:left="2880" w:hanging="360"/>
      </w:pPr>
      <w:rPr>
        <w:rFonts w:ascii="Wingdings" w:hAnsi="Wingdings" w:hint="default"/>
      </w:rPr>
    </w:lvl>
    <w:lvl w:ilvl="3" w:tplc="74F07D7E">
      <w:start w:val="1"/>
      <w:numFmt w:val="bullet"/>
      <w:lvlText w:val=""/>
      <w:lvlJc w:val="left"/>
      <w:pPr>
        <w:ind w:left="3600" w:hanging="360"/>
      </w:pPr>
      <w:rPr>
        <w:rFonts w:ascii="Symbol" w:hAnsi="Symbol" w:hint="default"/>
      </w:rPr>
    </w:lvl>
    <w:lvl w:ilvl="4" w:tplc="B26C911C">
      <w:start w:val="1"/>
      <w:numFmt w:val="bullet"/>
      <w:lvlText w:val="o"/>
      <w:lvlJc w:val="left"/>
      <w:pPr>
        <w:ind w:left="4320" w:hanging="360"/>
      </w:pPr>
      <w:rPr>
        <w:rFonts w:ascii="Courier New" w:hAnsi="Courier New" w:cs="Courier New" w:hint="default"/>
      </w:rPr>
    </w:lvl>
    <w:lvl w:ilvl="5" w:tplc="83109390">
      <w:start w:val="1"/>
      <w:numFmt w:val="bullet"/>
      <w:lvlText w:val=""/>
      <w:lvlJc w:val="left"/>
      <w:pPr>
        <w:ind w:left="5040" w:hanging="360"/>
      </w:pPr>
      <w:rPr>
        <w:rFonts w:ascii="Wingdings" w:hAnsi="Wingdings" w:hint="default"/>
      </w:rPr>
    </w:lvl>
    <w:lvl w:ilvl="6" w:tplc="6CFA513E">
      <w:start w:val="1"/>
      <w:numFmt w:val="bullet"/>
      <w:lvlText w:val=""/>
      <w:lvlJc w:val="left"/>
      <w:pPr>
        <w:ind w:left="5760" w:hanging="360"/>
      </w:pPr>
      <w:rPr>
        <w:rFonts w:ascii="Symbol" w:hAnsi="Symbol" w:hint="default"/>
      </w:rPr>
    </w:lvl>
    <w:lvl w:ilvl="7" w:tplc="294C8C84">
      <w:start w:val="1"/>
      <w:numFmt w:val="bullet"/>
      <w:lvlText w:val="o"/>
      <w:lvlJc w:val="left"/>
      <w:pPr>
        <w:ind w:left="6480" w:hanging="360"/>
      </w:pPr>
      <w:rPr>
        <w:rFonts w:ascii="Courier New" w:hAnsi="Courier New" w:cs="Courier New" w:hint="default"/>
      </w:rPr>
    </w:lvl>
    <w:lvl w:ilvl="8" w:tplc="4574083A">
      <w:start w:val="1"/>
      <w:numFmt w:val="bullet"/>
      <w:lvlText w:val=""/>
      <w:lvlJc w:val="left"/>
      <w:pPr>
        <w:ind w:left="7200" w:hanging="360"/>
      </w:pPr>
      <w:rPr>
        <w:rFonts w:ascii="Wingdings" w:hAnsi="Wingdings" w:hint="default"/>
      </w:rPr>
    </w:lvl>
  </w:abstractNum>
  <w:abstractNum w:abstractNumId="20" w15:restartNumberingAfterBreak="0">
    <w:nsid w:val="5DE5625E"/>
    <w:multiLevelType w:val="hybridMultilevel"/>
    <w:tmpl w:val="06766124"/>
    <w:lvl w:ilvl="0" w:tplc="DA208AFE">
      <w:start w:val="1"/>
      <w:numFmt w:val="decimal"/>
      <w:lvlText w:val="%1."/>
      <w:lvlJc w:val="left"/>
      <w:pPr>
        <w:ind w:left="720" w:hanging="360"/>
      </w:pPr>
    </w:lvl>
    <w:lvl w:ilvl="1" w:tplc="D5F46D38" w:tentative="1">
      <w:start w:val="1"/>
      <w:numFmt w:val="lowerLetter"/>
      <w:lvlText w:val="%2."/>
      <w:lvlJc w:val="left"/>
      <w:pPr>
        <w:ind w:left="1440" w:hanging="360"/>
      </w:pPr>
    </w:lvl>
    <w:lvl w:ilvl="2" w:tplc="928A2D5C" w:tentative="1">
      <w:start w:val="1"/>
      <w:numFmt w:val="lowerRoman"/>
      <w:lvlText w:val="%3."/>
      <w:lvlJc w:val="right"/>
      <w:pPr>
        <w:ind w:left="2160" w:hanging="180"/>
      </w:pPr>
    </w:lvl>
    <w:lvl w:ilvl="3" w:tplc="9BDCD79C" w:tentative="1">
      <w:start w:val="1"/>
      <w:numFmt w:val="decimal"/>
      <w:lvlText w:val="%4."/>
      <w:lvlJc w:val="left"/>
      <w:pPr>
        <w:ind w:left="2880" w:hanging="360"/>
      </w:pPr>
    </w:lvl>
    <w:lvl w:ilvl="4" w:tplc="22A6BFA4" w:tentative="1">
      <w:start w:val="1"/>
      <w:numFmt w:val="lowerLetter"/>
      <w:lvlText w:val="%5."/>
      <w:lvlJc w:val="left"/>
      <w:pPr>
        <w:ind w:left="3600" w:hanging="360"/>
      </w:pPr>
    </w:lvl>
    <w:lvl w:ilvl="5" w:tplc="AB487CE0" w:tentative="1">
      <w:start w:val="1"/>
      <w:numFmt w:val="lowerRoman"/>
      <w:lvlText w:val="%6."/>
      <w:lvlJc w:val="right"/>
      <w:pPr>
        <w:ind w:left="4320" w:hanging="180"/>
      </w:pPr>
    </w:lvl>
    <w:lvl w:ilvl="6" w:tplc="16D098E8" w:tentative="1">
      <w:start w:val="1"/>
      <w:numFmt w:val="decimal"/>
      <w:lvlText w:val="%7."/>
      <w:lvlJc w:val="left"/>
      <w:pPr>
        <w:ind w:left="5040" w:hanging="360"/>
      </w:pPr>
    </w:lvl>
    <w:lvl w:ilvl="7" w:tplc="7352830E" w:tentative="1">
      <w:start w:val="1"/>
      <w:numFmt w:val="lowerLetter"/>
      <w:lvlText w:val="%8."/>
      <w:lvlJc w:val="left"/>
      <w:pPr>
        <w:ind w:left="5760" w:hanging="360"/>
      </w:pPr>
    </w:lvl>
    <w:lvl w:ilvl="8" w:tplc="5274B1D2" w:tentative="1">
      <w:start w:val="1"/>
      <w:numFmt w:val="lowerRoman"/>
      <w:lvlText w:val="%9."/>
      <w:lvlJc w:val="right"/>
      <w:pPr>
        <w:ind w:left="6480" w:hanging="180"/>
      </w:pPr>
    </w:lvl>
  </w:abstractNum>
  <w:abstractNum w:abstractNumId="21" w15:restartNumberingAfterBreak="0">
    <w:nsid w:val="5EBF00E5"/>
    <w:multiLevelType w:val="hybridMultilevel"/>
    <w:tmpl w:val="A35C924A"/>
    <w:lvl w:ilvl="0" w:tplc="70387208">
      <w:start w:val="1"/>
      <w:numFmt w:val="decimal"/>
      <w:lvlText w:val="%1."/>
      <w:lvlJc w:val="left"/>
      <w:pPr>
        <w:ind w:left="720" w:hanging="360"/>
      </w:pPr>
      <w:rPr>
        <w:rFonts w:ascii="Arial" w:hAnsi="Arial" w:hint="default"/>
        <w:b/>
        <w:i w:val="0"/>
        <w:color w:val="auto"/>
      </w:rPr>
    </w:lvl>
    <w:lvl w:ilvl="1" w:tplc="FCB2BFD4" w:tentative="1">
      <w:start w:val="1"/>
      <w:numFmt w:val="lowerLetter"/>
      <w:lvlText w:val="%2."/>
      <w:lvlJc w:val="left"/>
      <w:pPr>
        <w:ind w:left="1440" w:hanging="360"/>
      </w:pPr>
    </w:lvl>
    <w:lvl w:ilvl="2" w:tplc="D1702C58" w:tentative="1">
      <w:start w:val="1"/>
      <w:numFmt w:val="lowerRoman"/>
      <w:lvlText w:val="%3."/>
      <w:lvlJc w:val="right"/>
      <w:pPr>
        <w:ind w:left="2160" w:hanging="180"/>
      </w:pPr>
    </w:lvl>
    <w:lvl w:ilvl="3" w:tplc="AE4E5F74" w:tentative="1">
      <w:start w:val="1"/>
      <w:numFmt w:val="decimal"/>
      <w:lvlText w:val="%4."/>
      <w:lvlJc w:val="left"/>
      <w:pPr>
        <w:ind w:left="2880" w:hanging="360"/>
      </w:pPr>
    </w:lvl>
    <w:lvl w:ilvl="4" w:tplc="5BE86514" w:tentative="1">
      <w:start w:val="1"/>
      <w:numFmt w:val="lowerLetter"/>
      <w:lvlText w:val="%5."/>
      <w:lvlJc w:val="left"/>
      <w:pPr>
        <w:ind w:left="3600" w:hanging="360"/>
      </w:pPr>
    </w:lvl>
    <w:lvl w:ilvl="5" w:tplc="45401F48" w:tentative="1">
      <w:start w:val="1"/>
      <w:numFmt w:val="lowerRoman"/>
      <w:lvlText w:val="%6."/>
      <w:lvlJc w:val="right"/>
      <w:pPr>
        <w:ind w:left="4320" w:hanging="180"/>
      </w:pPr>
    </w:lvl>
    <w:lvl w:ilvl="6" w:tplc="64F0DFE2" w:tentative="1">
      <w:start w:val="1"/>
      <w:numFmt w:val="decimal"/>
      <w:lvlText w:val="%7."/>
      <w:lvlJc w:val="left"/>
      <w:pPr>
        <w:ind w:left="5040" w:hanging="360"/>
      </w:pPr>
    </w:lvl>
    <w:lvl w:ilvl="7" w:tplc="618C9190" w:tentative="1">
      <w:start w:val="1"/>
      <w:numFmt w:val="lowerLetter"/>
      <w:lvlText w:val="%8."/>
      <w:lvlJc w:val="left"/>
      <w:pPr>
        <w:ind w:left="5760" w:hanging="360"/>
      </w:pPr>
    </w:lvl>
    <w:lvl w:ilvl="8" w:tplc="D69836E8" w:tentative="1">
      <w:start w:val="1"/>
      <w:numFmt w:val="lowerRoman"/>
      <w:lvlText w:val="%9."/>
      <w:lvlJc w:val="right"/>
      <w:pPr>
        <w:ind w:left="6480" w:hanging="180"/>
      </w:pPr>
    </w:lvl>
  </w:abstractNum>
  <w:abstractNum w:abstractNumId="22" w15:restartNumberingAfterBreak="0">
    <w:nsid w:val="63284792"/>
    <w:multiLevelType w:val="hybridMultilevel"/>
    <w:tmpl w:val="D8E09D2C"/>
    <w:lvl w:ilvl="0" w:tplc="D9203336">
      <w:start w:val="1"/>
      <w:numFmt w:val="bullet"/>
      <w:lvlText w:val=""/>
      <w:lvlJc w:val="left"/>
      <w:pPr>
        <w:ind w:left="1080" w:hanging="360"/>
      </w:pPr>
      <w:rPr>
        <w:rFonts w:ascii="Wingdings 3" w:hAnsi="Wingdings 3" w:hint="default"/>
      </w:rPr>
    </w:lvl>
    <w:lvl w:ilvl="1" w:tplc="1EE232C8">
      <w:start w:val="1"/>
      <w:numFmt w:val="bullet"/>
      <w:lvlText w:val="o"/>
      <w:lvlJc w:val="left"/>
      <w:pPr>
        <w:ind w:left="1800" w:hanging="360"/>
      </w:pPr>
      <w:rPr>
        <w:rFonts w:ascii="Courier New" w:hAnsi="Courier New" w:cs="Courier New" w:hint="default"/>
      </w:rPr>
    </w:lvl>
    <w:lvl w:ilvl="2" w:tplc="7C8C7862">
      <w:start w:val="1"/>
      <w:numFmt w:val="bullet"/>
      <w:lvlText w:val=""/>
      <w:lvlJc w:val="left"/>
      <w:pPr>
        <w:ind w:left="2520" w:hanging="360"/>
      </w:pPr>
      <w:rPr>
        <w:rFonts w:ascii="Wingdings" w:hAnsi="Wingdings" w:hint="default"/>
      </w:rPr>
    </w:lvl>
    <w:lvl w:ilvl="3" w:tplc="DCF2ACF8">
      <w:start w:val="1"/>
      <w:numFmt w:val="bullet"/>
      <w:lvlText w:val=""/>
      <w:lvlJc w:val="left"/>
      <w:pPr>
        <w:ind w:left="3240" w:hanging="360"/>
      </w:pPr>
      <w:rPr>
        <w:rFonts w:ascii="Symbol" w:hAnsi="Symbol" w:hint="default"/>
      </w:rPr>
    </w:lvl>
    <w:lvl w:ilvl="4" w:tplc="21D67930">
      <w:start w:val="1"/>
      <w:numFmt w:val="bullet"/>
      <w:lvlText w:val="o"/>
      <w:lvlJc w:val="left"/>
      <w:pPr>
        <w:ind w:left="3960" w:hanging="360"/>
      </w:pPr>
      <w:rPr>
        <w:rFonts w:ascii="Courier New" w:hAnsi="Courier New" w:cs="Courier New" w:hint="default"/>
      </w:rPr>
    </w:lvl>
    <w:lvl w:ilvl="5" w:tplc="A294B072">
      <w:start w:val="1"/>
      <w:numFmt w:val="bullet"/>
      <w:lvlText w:val=""/>
      <w:lvlJc w:val="left"/>
      <w:pPr>
        <w:ind w:left="4680" w:hanging="360"/>
      </w:pPr>
      <w:rPr>
        <w:rFonts w:ascii="Wingdings" w:hAnsi="Wingdings" w:hint="default"/>
      </w:rPr>
    </w:lvl>
    <w:lvl w:ilvl="6" w:tplc="9A6E0FE0">
      <w:start w:val="1"/>
      <w:numFmt w:val="bullet"/>
      <w:lvlText w:val=""/>
      <w:lvlJc w:val="left"/>
      <w:pPr>
        <w:ind w:left="5400" w:hanging="360"/>
      </w:pPr>
      <w:rPr>
        <w:rFonts w:ascii="Symbol" w:hAnsi="Symbol" w:hint="default"/>
      </w:rPr>
    </w:lvl>
    <w:lvl w:ilvl="7" w:tplc="663C9000">
      <w:start w:val="1"/>
      <w:numFmt w:val="bullet"/>
      <w:lvlText w:val="o"/>
      <w:lvlJc w:val="left"/>
      <w:pPr>
        <w:ind w:left="6120" w:hanging="360"/>
      </w:pPr>
      <w:rPr>
        <w:rFonts w:ascii="Courier New" w:hAnsi="Courier New" w:cs="Courier New" w:hint="default"/>
      </w:rPr>
    </w:lvl>
    <w:lvl w:ilvl="8" w:tplc="C3F069AC">
      <w:start w:val="1"/>
      <w:numFmt w:val="bullet"/>
      <w:lvlText w:val=""/>
      <w:lvlJc w:val="left"/>
      <w:pPr>
        <w:ind w:left="6840" w:hanging="360"/>
      </w:pPr>
      <w:rPr>
        <w:rFonts w:ascii="Wingdings" w:hAnsi="Wingdings" w:hint="default"/>
      </w:rPr>
    </w:lvl>
  </w:abstractNum>
  <w:abstractNum w:abstractNumId="23"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4" w15:restartNumberingAfterBreak="0">
    <w:nsid w:val="7E6C3798"/>
    <w:multiLevelType w:val="hybridMultilevel"/>
    <w:tmpl w:val="19F663FA"/>
    <w:lvl w:ilvl="0" w:tplc="A2BC88F6">
      <w:start w:val="1"/>
      <w:numFmt w:val="bullet"/>
      <w:lvlText w:val=""/>
      <w:lvlJc w:val="left"/>
      <w:pPr>
        <w:ind w:left="1440" w:hanging="360"/>
      </w:pPr>
      <w:rPr>
        <w:rFonts w:ascii="Wingdings 3" w:hAnsi="Wingdings 3" w:hint="default"/>
      </w:rPr>
    </w:lvl>
    <w:lvl w:ilvl="1" w:tplc="A5B0C32E">
      <w:start w:val="1"/>
      <w:numFmt w:val="bullet"/>
      <w:lvlText w:val="o"/>
      <w:lvlJc w:val="left"/>
      <w:pPr>
        <w:ind w:left="2160" w:hanging="360"/>
      </w:pPr>
      <w:rPr>
        <w:rFonts w:ascii="Courier New" w:hAnsi="Courier New" w:cs="Courier New" w:hint="default"/>
      </w:rPr>
    </w:lvl>
    <w:lvl w:ilvl="2" w:tplc="3D16EAF6">
      <w:start w:val="1"/>
      <w:numFmt w:val="bullet"/>
      <w:lvlText w:val=""/>
      <w:lvlJc w:val="left"/>
      <w:pPr>
        <w:ind w:left="2880" w:hanging="360"/>
      </w:pPr>
      <w:rPr>
        <w:rFonts w:ascii="Wingdings" w:hAnsi="Wingdings" w:hint="default"/>
      </w:rPr>
    </w:lvl>
    <w:lvl w:ilvl="3" w:tplc="5F34E90C">
      <w:start w:val="1"/>
      <w:numFmt w:val="bullet"/>
      <w:lvlText w:val=""/>
      <w:lvlJc w:val="left"/>
      <w:pPr>
        <w:ind w:left="3600" w:hanging="360"/>
      </w:pPr>
      <w:rPr>
        <w:rFonts w:ascii="Symbol" w:hAnsi="Symbol" w:hint="default"/>
      </w:rPr>
    </w:lvl>
    <w:lvl w:ilvl="4" w:tplc="38EACC78">
      <w:start w:val="1"/>
      <w:numFmt w:val="bullet"/>
      <w:lvlText w:val="o"/>
      <w:lvlJc w:val="left"/>
      <w:pPr>
        <w:ind w:left="4320" w:hanging="360"/>
      </w:pPr>
      <w:rPr>
        <w:rFonts w:ascii="Courier New" w:hAnsi="Courier New" w:cs="Courier New" w:hint="default"/>
      </w:rPr>
    </w:lvl>
    <w:lvl w:ilvl="5" w:tplc="CB4A64E0">
      <w:start w:val="1"/>
      <w:numFmt w:val="bullet"/>
      <w:lvlText w:val=""/>
      <w:lvlJc w:val="left"/>
      <w:pPr>
        <w:ind w:left="5040" w:hanging="360"/>
      </w:pPr>
      <w:rPr>
        <w:rFonts w:ascii="Wingdings" w:hAnsi="Wingdings" w:hint="default"/>
      </w:rPr>
    </w:lvl>
    <w:lvl w:ilvl="6" w:tplc="4C629F76">
      <w:start w:val="1"/>
      <w:numFmt w:val="bullet"/>
      <w:lvlText w:val=""/>
      <w:lvlJc w:val="left"/>
      <w:pPr>
        <w:ind w:left="5760" w:hanging="360"/>
      </w:pPr>
      <w:rPr>
        <w:rFonts w:ascii="Symbol" w:hAnsi="Symbol" w:hint="default"/>
      </w:rPr>
    </w:lvl>
    <w:lvl w:ilvl="7" w:tplc="FB6867CA">
      <w:start w:val="1"/>
      <w:numFmt w:val="bullet"/>
      <w:lvlText w:val="o"/>
      <w:lvlJc w:val="left"/>
      <w:pPr>
        <w:ind w:left="6480" w:hanging="360"/>
      </w:pPr>
      <w:rPr>
        <w:rFonts w:ascii="Courier New" w:hAnsi="Courier New" w:cs="Courier New" w:hint="default"/>
      </w:rPr>
    </w:lvl>
    <w:lvl w:ilvl="8" w:tplc="3F506220">
      <w:start w:val="1"/>
      <w:numFmt w:val="bullet"/>
      <w:lvlText w:val=""/>
      <w:lvlJc w:val="left"/>
      <w:pPr>
        <w:ind w:left="7200" w:hanging="360"/>
      </w:pPr>
      <w:rPr>
        <w:rFonts w:ascii="Wingdings" w:hAnsi="Wingdings" w:hint="default"/>
      </w:rPr>
    </w:lvl>
  </w:abstractNum>
  <w:num w:numId="1">
    <w:abstractNumId w:val="14"/>
  </w:num>
  <w:num w:numId="2">
    <w:abstractNumId w:val="17"/>
  </w:num>
  <w:num w:numId="3">
    <w:abstractNumId w:val="20"/>
  </w:num>
  <w:num w:numId="4">
    <w:abstractNumId w:val="12"/>
  </w:num>
  <w:num w:numId="5">
    <w:abstractNumId w:val="16"/>
  </w:num>
  <w:num w:numId="6">
    <w:abstractNumId w:val="10"/>
  </w:num>
  <w:num w:numId="7">
    <w:abstractNumId w:val="6"/>
  </w:num>
  <w:num w:numId="8">
    <w:abstractNumId w:val="9"/>
  </w:num>
  <w:num w:numId="9">
    <w:abstractNumId w:val="2"/>
  </w:num>
  <w:num w:numId="10">
    <w:abstractNumId w:val="4"/>
  </w:num>
  <w:num w:numId="11">
    <w:abstractNumId w:val="5"/>
  </w:num>
  <w:num w:numId="12">
    <w:abstractNumId w:val="13"/>
  </w:num>
  <w:num w:numId="13">
    <w:abstractNumId w:val="0"/>
  </w:num>
  <w:num w:numId="14">
    <w:abstractNumId w:val="23"/>
  </w:num>
  <w:num w:numId="15">
    <w:abstractNumId w:val="11"/>
  </w:num>
  <w:num w:numId="16">
    <w:abstractNumId w:val="18"/>
  </w:num>
  <w:num w:numId="17">
    <w:abstractNumId w:val="21"/>
  </w:num>
  <w:num w:numId="18">
    <w:abstractNumId w:val="7"/>
  </w:num>
  <w:num w:numId="19">
    <w:abstractNumId w:val="3"/>
  </w:num>
  <w:num w:numId="20">
    <w:abstractNumId w:val="21"/>
  </w:num>
  <w:num w:numId="21">
    <w:abstractNumId w:val="15"/>
  </w:num>
  <w:num w:numId="22">
    <w:abstractNumId w:val="22"/>
  </w:num>
  <w:num w:numId="23">
    <w:abstractNumId w:val="24"/>
  </w:num>
  <w:num w:numId="24">
    <w:abstractNumId w:val="8"/>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B"/>
    <w:rsid w:val="005A5D49"/>
    <w:rsid w:val="0063033B"/>
    <w:rsid w:val="008D42A2"/>
    <w:rsid w:val="00A92BE2"/>
    <w:rsid w:val="00FB3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8606C"/>
  <w15:docId w15:val="{22AB4C16-DF92-48D4-8839-F85C1FE4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styleId="CommentText">
    <w:name w:val="annotation text"/>
    <w:basedOn w:val="Normal"/>
    <w:link w:val="CommentTextChar"/>
    <w:uiPriority w:val="99"/>
    <w:semiHidden/>
    <w:unhideWhenUsed/>
    <w:rsid w:val="005A2883"/>
    <w:rPr>
      <w:sz w:val="20"/>
    </w:rPr>
  </w:style>
  <w:style w:type="character" w:customStyle="1" w:styleId="CommentTextChar">
    <w:name w:val="Comment Text Char"/>
    <w:basedOn w:val="DefaultParagraphFont"/>
    <w:link w:val="CommentText"/>
    <w:uiPriority w:val="99"/>
    <w:semiHidden/>
    <w:rsid w:val="005A2883"/>
    <w:rPr>
      <w:rFonts w:ascii="Arial" w:hAnsi="Arial"/>
    </w:rPr>
  </w:style>
  <w:style w:type="character" w:styleId="CommentReference">
    <w:name w:val="annotation reference"/>
    <w:basedOn w:val="DefaultParagraphFont"/>
    <w:uiPriority w:val="99"/>
    <w:semiHidden/>
    <w:unhideWhenUsed/>
    <w:rsid w:val="005A2883"/>
    <w:rPr>
      <w:sz w:val="16"/>
      <w:szCs w:val="16"/>
    </w:rPr>
  </w:style>
  <w:style w:type="table" w:customStyle="1" w:styleId="TableGrid1">
    <w:name w:val="Table Grid1"/>
    <w:basedOn w:val="TableNormal"/>
    <w:uiPriority w:val="59"/>
    <w:rsid w:val="005A28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2185-DF58-4B1D-92B4-994EC77F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2417</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Anthony, Howard</cp:lastModifiedBy>
  <cp:revision>9</cp:revision>
  <cp:lastPrinted>2018-03-14T15:24:00Z</cp:lastPrinted>
  <dcterms:created xsi:type="dcterms:W3CDTF">2020-12-02T10:01:00Z</dcterms:created>
  <dcterms:modified xsi:type="dcterms:W3CDTF">2021-01-11T15:07:00Z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South Ribble Corporate Risk Register 2021</vt:lpwstr>
  </property>
  <property fmtid="{D5CDD505-2E9C-101B-9397-08002B2CF9AE}" pid="4" name="LeadDirector">
    <vt:lpwstr>Shared Services Lead - Partnerships and Transformation</vt:lpwstr>
  </property>
  <property fmtid="{D5CDD505-2E9C-101B-9397-08002B2CF9AE}" pid="5" name="LeadOfficer">
    <vt:lpwstr>Howard Anthony</vt:lpwstr>
  </property>
  <property fmtid="{D5CDD505-2E9C-101B-9397-08002B2CF9AE}" pid="6" name="LeadOfficerEmail">
    <vt:lpwstr>hanthony@southribble.gov.uk</vt:lpwstr>
  </property>
  <property fmtid="{D5CDD505-2E9C-101B-9397-08002B2CF9AE}" pid="7" name="LeadOfficerPost">
    <vt:lpwstr>South Ribble Partnership Manager</vt:lpwstr>
  </property>
  <property fmtid="{D5CDD505-2E9C-101B-9397-08002B2CF9AE}" pid="8" name="LeadOfficerTel">
    <vt:lpwstr/>
  </property>
  <property fmtid="{D5CDD505-2E9C-101B-9397-08002B2CF9AE}" pid="9" name="MeetingDate">
    <vt:lpwstr>Tuesday, 19 January 2021</vt:lpwstr>
  </property>
</Properties>
</file>